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C14980" w14:textId="409583C1" w:rsidR="00A729F5" w:rsidRPr="00DA12F7" w:rsidRDefault="00A729F5" w:rsidP="00A729F5">
      <w:pPr>
        <w:tabs>
          <w:tab w:val="right" w:pos="9630"/>
        </w:tabs>
        <w:spacing w:after="0"/>
      </w:pPr>
      <w:r w:rsidRPr="00DA12F7">
        <w:rPr>
          <w:rFonts w:ascii="Arial" w:hAnsi="Arial" w:cs="Arial"/>
          <w:b/>
          <w:sz w:val="24"/>
        </w:rPr>
        <w:t xml:space="preserve">3GPP TSG RAN WG1 </w:t>
      </w:r>
      <w:r>
        <w:rPr>
          <w:rFonts w:ascii="Arial" w:hAnsi="Arial" w:cs="Arial"/>
          <w:b/>
          <w:sz w:val="24"/>
        </w:rPr>
        <w:t>Meeting #90</w:t>
      </w:r>
      <w:r w:rsidRPr="00DA12F7">
        <w:rPr>
          <w:rFonts w:ascii="Arial" w:hAnsi="Arial" w:cs="Arial"/>
          <w:b/>
          <w:sz w:val="24"/>
        </w:rPr>
        <w:tab/>
        <w:t>R1-</w:t>
      </w:r>
      <w:r w:rsidR="00402057">
        <w:rPr>
          <w:rFonts w:ascii="Arial" w:hAnsi="Arial" w:cs="Arial"/>
          <w:b/>
          <w:sz w:val="24"/>
        </w:rPr>
        <w:t>171344</w:t>
      </w:r>
      <w:r w:rsidR="00553777">
        <w:rPr>
          <w:rFonts w:ascii="Arial" w:hAnsi="Arial" w:cs="Arial"/>
          <w:b/>
          <w:sz w:val="24"/>
        </w:rPr>
        <w:t>8</w:t>
      </w:r>
    </w:p>
    <w:p w14:paraId="0C2D9163" w14:textId="77777777" w:rsidR="00A729F5" w:rsidRPr="00DA12F7" w:rsidRDefault="00A729F5" w:rsidP="00A729F5">
      <w:pPr>
        <w:tabs>
          <w:tab w:val="right" w:pos="9630"/>
        </w:tabs>
        <w:spacing w:after="0"/>
        <w:rPr>
          <w:rFonts w:ascii="Arial" w:hAnsi="Arial" w:cs="Arial"/>
          <w:b/>
          <w:sz w:val="24"/>
          <w:szCs w:val="24"/>
        </w:rPr>
      </w:pPr>
      <w:r>
        <w:rPr>
          <w:rFonts w:ascii="Arial" w:hAnsi="Arial" w:cs="Arial"/>
          <w:b/>
          <w:sz w:val="24"/>
          <w:szCs w:val="24"/>
        </w:rPr>
        <w:t>August 21</w:t>
      </w:r>
      <w:r w:rsidRPr="00116328">
        <w:rPr>
          <w:rFonts w:ascii="Arial" w:hAnsi="Arial" w:cs="Arial"/>
          <w:b/>
          <w:sz w:val="24"/>
          <w:szCs w:val="24"/>
          <w:vertAlign w:val="superscript"/>
        </w:rPr>
        <w:t>st</w:t>
      </w:r>
      <w:r>
        <w:rPr>
          <w:rFonts w:ascii="Arial" w:hAnsi="Arial" w:cs="Arial"/>
          <w:b/>
          <w:sz w:val="24"/>
          <w:szCs w:val="24"/>
        </w:rPr>
        <w:t xml:space="preserve"> – 25</w:t>
      </w:r>
      <w:r w:rsidRPr="007B3458">
        <w:rPr>
          <w:rFonts w:ascii="Arial" w:hAnsi="Arial" w:cs="Arial"/>
          <w:b/>
          <w:sz w:val="24"/>
          <w:szCs w:val="24"/>
          <w:vertAlign w:val="superscript"/>
        </w:rPr>
        <w:t>th</w:t>
      </w:r>
      <w:r w:rsidRPr="00DA12F7">
        <w:rPr>
          <w:rFonts w:ascii="Arial" w:hAnsi="Arial" w:cs="Arial"/>
          <w:b/>
          <w:sz w:val="24"/>
          <w:szCs w:val="24"/>
        </w:rPr>
        <w:t>, 201</w:t>
      </w:r>
      <w:r>
        <w:rPr>
          <w:rFonts w:ascii="Arial" w:hAnsi="Arial" w:cs="Arial"/>
          <w:b/>
          <w:sz w:val="24"/>
          <w:szCs w:val="24"/>
        </w:rPr>
        <w:t>7</w:t>
      </w:r>
    </w:p>
    <w:p w14:paraId="4B2F4D4B" w14:textId="77777777" w:rsidR="00A729F5" w:rsidRPr="00DA12F7" w:rsidRDefault="00A729F5" w:rsidP="00A729F5">
      <w:pPr>
        <w:rPr>
          <w:rFonts w:ascii="Arial" w:hAnsi="Arial" w:cs="Arial"/>
          <w:b/>
          <w:sz w:val="24"/>
          <w:szCs w:val="24"/>
        </w:rPr>
      </w:pPr>
      <w:r>
        <w:rPr>
          <w:rFonts w:ascii="Arial" w:hAnsi="Arial" w:cs="Arial"/>
          <w:b/>
          <w:sz w:val="24"/>
          <w:szCs w:val="24"/>
        </w:rPr>
        <w:t>Prague, Czech Republic</w:t>
      </w:r>
    </w:p>
    <w:p w14:paraId="43B7F87B" w14:textId="77777777" w:rsidR="0068226B" w:rsidRPr="000A64D8" w:rsidRDefault="0068226B" w:rsidP="00480B03">
      <w:pPr>
        <w:pStyle w:val="Footer"/>
        <w:jc w:val="both"/>
        <w:rPr>
          <w:noProof w:val="0"/>
        </w:rPr>
      </w:pPr>
    </w:p>
    <w:p w14:paraId="43B7F87C" w14:textId="291BC73A"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A729F5">
        <w:rPr>
          <w:rFonts w:ascii="Arial" w:hAnsi="Arial"/>
          <w:sz w:val="24"/>
        </w:rPr>
        <w:t>6</w:t>
      </w:r>
      <w:r w:rsidR="00955C57">
        <w:rPr>
          <w:rFonts w:ascii="Arial" w:hAnsi="Arial"/>
          <w:sz w:val="24"/>
        </w:rPr>
        <w:t>.1.3.</w:t>
      </w:r>
      <w:r w:rsidR="00F068D2">
        <w:rPr>
          <w:rFonts w:ascii="Arial" w:hAnsi="Arial"/>
          <w:sz w:val="24"/>
        </w:rPr>
        <w:t>3.5.1</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7F63959A" w:rsidR="00C10599" w:rsidRPr="0007796D"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F068D2">
        <w:rPr>
          <w:rFonts w:ascii="Arial" w:hAnsi="Arial"/>
          <w:sz w:val="24"/>
          <w:szCs w:val="24"/>
        </w:rPr>
        <w:t>HARQ feedback timing in FDD</w:t>
      </w: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272736">
        <w:rPr>
          <w:rFonts w:ascii="Arial" w:hAnsi="Arial"/>
          <w:sz w:val="24"/>
        </w:rPr>
        <w:t>/Decision</w:t>
      </w:r>
    </w:p>
    <w:p w14:paraId="43B7F880" w14:textId="6D9F126E" w:rsidR="004503F9" w:rsidRPr="00183CB7" w:rsidRDefault="00F068D2" w:rsidP="00F068D2">
      <w:pPr>
        <w:pStyle w:val="Heading1"/>
      </w:pPr>
      <w:r>
        <w:t>Introduction</w:t>
      </w:r>
    </w:p>
    <w:p w14:paraId="10BC4583" w14:textId="3A487B4F" w:rsidR="00AE2ECC" w:rsidRDefault="00F068D2" w:rsidP="00AE2ECC">
      <w:r>
        <w:t xml:space="preserve">Currently most of NR discussion in RAN1 has been focusing on TDD design with FDD/TDD design compatibility in mind. This contribution provides overview on NR FDD design </w:t>
      </w:r>
      <w:r w:rsidR="00C1473E">
        <w:t xml:space="preserve">focusing on HARQ, </w:t>
      </w:r>
      <w:r>
        <w:t>based on the agreements so far made in 3GPP.</w:t>
      </w:r>
    </w:p>
    <w:p w14:paraId="09AF6AC8" w14:textId="77777777" w:rsidR="007F3F4E" w:rsidRDefault="007F3F4E" w:rsidP="00AE2ECC"/>
    <w:p w14:paraId="1D9F36E1" w14:textId="3124A2EA" w:rsidR="00F068D2" w:rsidRDefault="00411558" w:rsidP="00F068D2">
      <w:pPr>
        <w:pStyle w:val="Heading1"/>
      </w:pPr>
      <w:r>
        <w:t>Slot structure</w:t>
      </w:r>
    </w:p>
    <w:p w14:paraId="658ABF3A" w14:textId="76FA40AB" w:rsidR="00A85F2C" w:rsidRDefault="00A85F2C" w:rsidP="00A85F2C">
      <w:pPr>
        <w:rPr>
          <w:lang w:val="en-GB"/>
        </w:rPr>
      </w:pPr>
      <w:r>
        <w:rPr>
          <w:lang w:val="en-GB"/>
        </w:rPr>
        <w:t xml:space="preserve">The slot structure for FDD is compared with that of TDD in Figure 1. It can be seen that FDD full slot </w:t>
      </w:r>
      <w:r w:rsidR="007F3507">
        <w:rPr>
          <w:lang w:val="en-GB"/>
        </w:rPr>
        <w:t xml:space="preserve">for DL and UL can be considered equivalent to TDD DL only slot and TDD UL only slot respectively. It should be noted that the length of PDCCH/PDSCH/PUCCH and PUSCH can vary depending on the configuration. Given flexible design in NR for each control and data channel, it is worth pointing out that we can also achieve the DL portion of TDD DL centric slot and the UL portion of TDD UL centric slot in </w:t>
      </w:r>
      <w:r w:rsidR="00152744">
        <w:rPr>
          <w:lang w:val="en-GB"/>
        </w:rPr>
        <w:t>FDD, as illustrated in Figure 2.</w:t>
      </w:r>
      <w:r w:rsidR="005E57FE">
        <w:rPr>
          <w:lang w:val="en-GB"/>
        </w:rPr>
        <w:t xml:space="preserve"> Therefore, it can be concluded that no new slot structure needs to be introduced for FDD.</w:t>
      </w:r>
    </w:p>
    <w:p w14:paraId="798FD109" w14:textId="54591F1F" w:rsidR="00AF579C" w:rsidRDefault="00AF579C" w:rsidP="00A85F2C">
      <w:pPr>
        <w:rPr>
          <w:lang w:val="en-GB"/>
        </w:rPr>
      </w:pPr>
      <w:r w:rsidRPr="00AF579C">
        <w:rPr>
          <w:b/>
          <w:u w:val="single"/>
          <w:lang w:val="en-GB"/>
        </w:rPr>
        <w:t>Observation 1</w:t>
      </w:r>
      <w:r>
        <w:rPr>
          <w:lang w:val="en-GB"/>
        </w:rPr>
        <w:t>: No new slot structure needs to be introduced for FDD.</w:t>
      </w:r>
    </w:p>
    <w:p w14:paraId="490AE918" w14:textId="77777777" w:rsidR="007F3507" w:rsidRPr="00A85F2C" w:rsidRDefault="007F3507" w:rsidP="00A85F2C">
      <w:pPr>
        <w:rPr>
          <w:lang w:val="en-GB"/>
        </w:rPr>
      </w:pPr>
    </w:p>
    <w:p w14:paraId="55F3EDC6" w14:textId="50A80E9A" w:rsidR="00A85F2C" w:rsidRDefault="007F3507" w:rsidP="007F3507">
      <w:pPr>
        <w:keepNext/>
        <w:jc w:val="center"/>
      </w:pPr>
      <w:r>
        <w:object w:dxaOrig="20120" w:dyaOrig="10532" w14:anchorId="623B7D12">
          <v:shape id="_x0000_i1026" type="#_x0000_t75" style="width:402.75pt;height:210.75pt" o:ole="">
            <v:imagedata r:id="rId12" o:title=""/>
          </v:shape>
          <o:OLEObject Type="Embed" ProgID="Visio.Drawing.11" ShapeID="_x0000_i1026" DrawAspect="Content" ObjectID="_1564235018" r:id="rId13"/>
        </w:object>
      </w:r>
    </w:p>
    <w:p w14:paraId="5EA8ED88" w14:textId="1F746833" w:rsidR="00411558" w:rsidRDefault="00A85F2C" w:rsidP="00A85F2C">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1</w:t>
      </w:r>
      <w:r w:rsidR="006020A8">
        <w:rPr>
          <w:noProof/>
        </w:rPr>
        <w:fldChar w:fldCharType="end"/>
      </w:r>
      <w:r>
        <w:t>: TDD and FDD slot structure comparison</w:t>
      </w:r>
    </w:p>
    <w:p w14:paraId="1D771878" w14:textId="4C6442DE" w:rsidR="007F3507" w:rsidRDefault="007F3507" w:rsidP="007F3507">
      <w:pPr>
        <w:keepNext/>
        <w:jc w:val="center"/>
      </w:pPr>
      <w:r>
        <w:object w:dxaOrig="20500" w:dyaOrig="10532" w14:anchorId="468A4C15">
          <v:shape id="_x0000_i1027" type="#_x0000_t75" style="width:410.25pt;height:210.75pt" o:ole="">
            <v:imagedata r:id="rId14" o:title=""/>
          </v:shape>
          <o:OLEObject Type="Embed" ProgID="Visio.Drawing.11" ShapeID="_x0000_i1027" DrawAspect="Content" ObjectID="_1564235019" r:id="rId15"/>
        </w:object>
      </w:r>
    </w:p>
    <w:p w14:paraId="672CB81D" w14:textId="72679B9E" w:rsidR="007F3507" w:rsidRDefault="007F3507" w:rsidP="007F3507">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2</w:t>
      </w:r>
      <w:r w:rsidR="006020A8">
        <w:rPr>
          <w:noProof/>
        </w:rPr>
        <w:fldChar w:fldCharType="end"/>
      </w:r>
      <w:r>
        <w:t>: FDD partial slot comparison with TDD DL and UL centric slot</w:t>
      </w:r>
    </w:p>
    <w:p w14:paraId="0EE98451" w14:textId="606AC868" w:rsidR="00B47389" w:rsidRDefault="00B47389" w:rsidP="00B47389"/>
    <w:p w14:paraId="7B972840" w14:textId="26123A15" w:rsidR="00453980" w:rsidRDefault="00453980" w:rsidP="00453980">
      <w:pPr>
        <w:pStyle w:val="Heading1"/>
      </w:pPr>
      <w:r>
        <w:t>PHY channels</w:t>
      </w:r>
    </w:p>
    <w:p w14:paraId="244AF0E0" w14:textId="39C4C37E" w:rsidR="00453980" w:rsidRDefault="00453980" w:rsidP="00453980">
      <w:pPr>
        <w:rPr>
          <w:lang w:val="en-GB"/>
        </w:rPr>
      </w:pPr>
      <w:r>
        <w:rPr>
          <w:lang w:val="en-GB"/>
        </w:rPr>
        <w:t>For both DL and UL PHY channels, TDD and FDD can</w:t>
      </w:r>
      <w:r w:rsidR="007F3F4E">
        <w:rPr>
          <w:lang w:val="en-GB"/>
        </w:rPr>
        <w:t xml:space="preserve"> share the same design. No new channel design is expected for FDD compared to TDD. Even synchronization signals share the exactly the same design between TDD and FDD unlike LTE. Therefore, the detection of PSS/SSS will not provide information on TDD/FDD. RMSI can provide this information.</w:t>
      </w:r>
    </w:p>
    <w:p w14:paraId="1E0DD99B" w14:textId="32F7265C" w:rsidR="007F3F4E" w:rsidRDefault="007F3F4E" w:rsidP="007F3F4E">
      <w:pPr>
        <w:rPr>
          <w:lang w:val="en-GB"/>
        </w:rPr>
      </w:pPr>
      <w:r w:rsidRPr="00AF579C">
        <w:rPr>
          <w:b/>
          <w:u w:val="single"/>
          <w:lang w:val="en-GB"/>
        </w:rPr>
        <w:t xml:space="preserve">Observation </w:t>
      </w:r>
      <w:r>
        <w:rPr>
          <w:b/>
          <w:u w:val="single"/>
          <w:lang w:val="en-GB"/>
        </w:rPr>
        <w:t>2</w:t>
      </w:r>
      <w:r>
        <w:rPr>
          <w:lang w:val="en-GB"/>
        </w:rPr>
        <w:t>: For both DL and UL PHY channels, TDD and FDD can share the same design.</w:t>
      </w:r>
    </w:p>
    <w:p w14:paraId="227D8F7F" w14:textId="40707CC7" w:rsidR="007F3F4E" w:rsidRDefault="007F3F4E" w:rsidP="007F3F4E">
      <w:pPr>
        <w:rPr>
          <w:lang w:val="en-GB"/>
        </w:rPr>
      </w:pPr>
      <w:r w:rsidRPr="00AF579C">
        <w:rPr>
          <w:b/>
          <w:u w:val="single"/>
          <w:lang w:val="en-GB"/>
        </w:rPr>
        <w:t xml:space="preserve">Observation </w:t>
      </w:r>
      <w:r>
        <w:rPr>
          <w:b/>
          <w:u w:val="single"/>
          <w:lang w:val="en-GB"/>
        </w:rPr>
        <w:t>3</w:t>
      </w:r>
      <w:r>
        <w:rPr>
          <w:lang w:val="en-GB"/>
        </w:rPr>
        <w:t>: RMSI can provide TDD/FDD information.</w:t>
      </w:r>
    </w:p>
    <w:p w14:paraId="6035FBA7" w14:textId="77777777" w:rsidR="007F3F4E" w:rsidRPr="00453980" w:rsidRDefault="007F3F4E" w:rsidP="00453980">
      <w:pPr>
        <w:rPr>
          <w:lang w:val="en-GB"/>
        </w:rPr>
      </w:pPr>
    </w:p>
    <w:p w14:paraId="3491BD56" w14:textId="17397CFF" w:rsidR="00483269" w:rsidRDefault="00483269" w:rsidP="00483269">
      <w:pPr>
        <w:pStyle w:val="Heading1"/>
      </w:pPr>
      <w:r>
        <w:t>HARQ</w:t>
      </w:r>
      <w:r w:rsidR="007D76AE">
        <w:t xml:space="preserve"> timeline</w:t>
      </w:r>
    </w:p>
    <w:p w14:paraId="2EC8D911" w14:textId="4B418DCB" w:rsidR="00483269" w:rsidRDefault="00483269" w:rsidP="00483269">
      <w:pPr>
        <w:rPr>
          <w:lang w:val="en-GB"/>
        </w:rPr>
      </w:pPr>
      <w:r>
        <w:rPr>
          <w:lang w:val="en-GB"/>
        </w:rPr>
        <w:t>Considering very flexible design in HARQ design, we can assume that the same framework can be u</w:t>
      </w:r>
      <w:r w:rsidR="008F211C">
        <w:rPr>
          <w:lang w:val="en-GB"/>
        </w:rPr>
        <w:t>tiliz</w:t>
      </w:r>
      <w:r>
        <w:rPr>
          <w:lang w:val="en-GB"/>
        </w:rPr>
        <w:t>ed for both TDD and FDD. Current HARQ framework allows configurable timing for:</w:t>
      </w:r>
    </w:p>
    <w:p w14:paraId="6806E94D" w14:textId="0396E058" w:rsidR="00483269" w:rsidRPr="009F7C2E" w:rsidRDefault="00483269" w:rsidP="00483269">
      <w:pPr>
        <w:pStyle w:val="ListParagraph"/>
        <w:numPr>
          <w:ilvl w:val="0"/>
          <w:numId w:val="22"/>
        </w:numPr>
        <w:rPr>
          <w:sz w:val="20"/>
          <w:lang w:val="en-GB"/>
        </w:rPr>
      </w:pPr>
      <w:r w:rsidRPr="009F7C2E">
        <w:rPr>
          <w:sz w:val="20"/>
          <w:lang w:val="en-GB"/>
        </w:rPr>
        <w:t>DL grant to DL data</w:t>
      </w:r>
    </w:p>
    <w:p w14:paraId="4E293AD4" w14:textId="6AAB3B8D" w:rsidR="00483269" w:rsidRPr="009F7C2E" w:rsidRDefault="00483269" w:rsidP="00483269">
      <w:pPr>
        <w:pStyle w:val="ListParagraph"/>
        <w:numPr>
          <w:ilvl w:val="0"/>
          <w:numId w:val="22"/>
        </w:numPr>
        <w:rPr>
          <w:sz w:val="20"/>
          <w:lang w:val="en-GB"/>
        </w:rPr>
      </w:pPr>
      <w:r w:rsidRPr="009F7C2E">
        <w:rPr>
          <w:sz w:val="20"/>
          <w:lang w:val="en-GB"/>
        </w:rPr>
        <w:t>DL data to ACK on UL</w:t>
      </w:r>
    </w:p>
    <w:p w14:paraId="46187A2C" w14:textId="5DE52DAA" w:rsidR="00483269" w:rsidRPr="009F7C2E" w:rsidRDefault="00483269" w:rsidP="00483269">
      <w:pPr>
        <w:pStyle w:val="ListParagraph"/>
        <w:numPr>
          <w:ilvl w:val="0"/>
          <w:numId w:val="22"/>
        </w:numPr>
        <w:rPr>
          <w:sz w:val="20"/>
          <w:lang w:val="en-GB"/>
        </w:rPr>
      </w:pPr>
      <w:r w:rsidRPr="009F7C2E">
        <w:rPr>
          <w:sz w:val="20"/>
          <w:lang w:val="en-GB"/>
        </w:rPr>
        <w:t>UL grant to UL data</w:t>
      </w:r>
    </w:p>
    <w:p w14:paraId="3C15C0C1" w14:textId="443CB4CE" w:rsidR="00483269" w:rsidRPr="009F7C2E" w:rsidRDefault="00483269" w:rsidP="00BF0963">
      <w:pPr>
        <w:pStyle w:val="ListParagraph"/>
        <w:numPr>
          <w:ilvl w:val="0"/>
          <w:numId w:val="22"/>
        </w:numPr>
        <w:spacing w:after="120"/>
        <w:rPr>
          <w:sz w:val="20"/>
          <w:lang w:val="en-GB"/>
        </w:rPr>
      </w:pPr>
      <w:r w:rsidRPr="009F7C2E">
        <w:rPr>
          <w:sz w:val="20"/>
          <w:lang w:val="en-GB"/>
        </w:rPr>
        <w:t>UL data to ACK on DL</w:t>
      </w:r>
    </w:p>
    <w:p w14:paraId="67F11435" w14:textId="259E44DB" w:rsidR="00BF0963" w:rsidRDefault="00BF0963" w:rsidP="00BF0963">
      <w:pPr>
        <w:rPr>
          <w:lang w:val="en-GB"/>
        </w:rPr>
      </w:pPr>
      <w:r>
        <w:rPr>
          <w:lang w:val="en-GB"/>
        </w:rPr>
        <w:t xml:space="preserve">Next, we will take </w:t>
      </w:r>
      <w:r w:rsidR="00CE05B4">
        <w:rPr>
          <w:lang w:val="en-GB"/>
        </w:rPr>
        <w:t>a look at HARQ timeline for FDD.</w:t>
      </w:r>
    </w:p>
    <w:p w14:paraId="04772B4C" w14:textId="1A30FF75" w:rsidR="00BF0963" w:rsidRDefault="00371965" w:rsidP="00C12ADD">
      <w:pPr>
        <w:pStyle w:val="Heading2"/>
      </w:pPr>
      <w:r>
        <w:t>TDD-like timeline</w:t>
      </w:r>
    </w:p>
    <w:p w14:paraId="64C4E19A" w14:textId="12B54F35" w:rsidR="009F7C2E" w:rsidRDefault="009F7C2E" w:rsidP="009F7C2E">
      <w:pPr>
        <w:rPr>
          <w:lang w:val="en-GB"/>
        </w:rPr>
      </w:pPr>
      <w:r>
        <w:rPr>
          <w:lang w:val="en-GB"/>
        </w:rPr>
        <w:t>In order to fully reuse the implementation in TDD, exactly the same HARQ timeline can be achieved with FDD partial slots shown in Figure 2. Both DL and UL HARQ timeline is shown with short PUCCH in Figure 3 and with long PUCCH in Figure 4.</w:t>
      </w:r>
      <w:r w:rsidR="00317BC5">
        <w:rPr>
          <w:lang w:val="en-GB"/>
        </w:rPr>
        <w:t xml:space="preserve"> </w:t>
      </w:r>
      <w:r w:rsidR="009B7D5C">
        <w:rPr>
          <w:lang w:val="en-GB"/>
        </w:rPr>
        <w:t xml:space="preserve">It can be assumed that the timing in Figure 3 and Figure 4 is at gNB (i.e., after TA and propagation delay). </w:t>
      </w:r>
      <w:r w:rsidR="00317BC5">
        <w:rPr>
          <w:lang w:val="en-GB"/>
        </w:rPr>
        <w:t>The blank part in both DL and UL spectrum can be utilized by mini-slots</w:t>
      </w:r>
      <w:r w:rsidR="009B7D5C">
        <w:rPr>
          <w:lang w:val="en-GB"/>
        </w:rPr>
        <w:t xml:space="preserve"> (for same or different UEs) to maximize spectral efficiency</w:t>
      </w:r>
      <w:r w:rsidR="00A0461B">
        <w:rPr>
          <w:lang w:val="en-GB"/>
        </w:rPr>
        <w:t xml:space="preserve"> of the spectrum</w:t>
      </w:r>
      <w:r w:rsidR="00671ED0">
        <w:rPr>
          <w:lang w:val="en-GB"/>
        </w:rPr>
        <w:t>. It should be noted that lax timeline via cross slot scheduling/acknowledgement with more HARQ processes can be also supported.</w:t>
      </w:r>
    </w:p>
    <w:p w14:paraId="1F842FC4" w14:textId="77777777" w:rsidR="00671ED0" w:rsidRPr="009F7C2E" w:rsidRDefault="00671ED0" w:rsidP="009F7C2E">
      <w:pPr>
        <w:rPr>
          <w:lang w:val="en-GB"/>
        </w:rPr>
      </w:pPr>
    </w:p>
    <w:p w14:paraId="51737597" w14:textId="223AEA36" w:rsidR="009F7C2E" w:rsidRDefault="00317BC5" w:rsidP="009F7C2E">
      <w:pPr>
        <w:keepNext/>
        <w:jc w:val="center"/>
      </w:pPr>
      <w:r>
        <w:object w:dxaOrig="10291" w:dyaOrig="3585" w14:anchorId="14E0A64E">
          <v:shape id="_x0000_i1028" type="#_x0000_t75" style="width:409.5pt;height:142.5pt" o:ole="">
            <v:imagedata r:id="rId16" o:title=""/>
          </v:shape>
          <o:OLEObject Type="Embed" ProgID="Visio.Drawing.11" ShapeID="_x0000_i1028" DrawAspect="Content" ObjectID="_1564235020" r:id="rId17"/>
        </w:object>
      </w:r>
    </w:p>
    <w:p w14:paraId="024B2E83" w14:textId="5A12AF01" w:rsidR="009F7C2E" w:rsidRDefault="009F7C2E" w:rsidP="009F7C2E">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3</w:t>
      </w:r>
      <w:r w:rsidR="006020A8">
        <w:rPr>
          <w:noProof/>
        </w:rPr>
        <w:fldChar w:fldCharType="end"/>
      </w:r>
      <w:r>
        <w:t>: TDD-like HARQ timeline with short PUCCH in FDD</w:t>
      </w:r>
      <w:r w:rsidR="00EC0E69">
        <w:t xml:space="preserve"> (2 DL and 2 UL HARQ processes)</w:t>
      </w:r>
    </w:p>
    <w:p w14:paraId="37411ED4" w14:textId="76F9A00A" w:rsidR="009F7C2E" w:rsidRDefault="00317BC5" w:rsidP="009F7C2E">
      <w:pPr>
        <w:keepNext/>
        <w:jc w:val="center"/>
      </w:pPr>
      <w:r>
        <w:object w:dxaOrig="10230" w:dyaOrig="3585" w14:anchorId="7D33F02B">
          <v:shape id="_x0000_i1029" type="#_x0000_t75" style="width:409.5pt;height:143.25pt" o:ole="">
            <v:imagedata r:id="rId18" o:title=""/>
          </v:shape>
          <o:OLEObject Type="Embed" ProgID="Visio.Drawing.11" ShapeID="_x0000_i1029" DrawAspect="Content" ObjectID="_1564235021" r:id="rId19"/>
        </w:object>
      </w:r>
    </w:p>
    <w:p w14:paraId="5E667698" w14:textId="040C9259" w:rsidR="009F7C2E" w:rsidRDefault="009F7C2E" w:rsidP="009F7C2E">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4</w:t>
      </w:r>
      <w:r w:rsidR="006020A8">
        <w:rPr>
          <w:noProof/>
        </w:rPr>
        <w:fldChar w:fldCharType="end"/>
      </w:r>
      <w:r>
        <w:t>: TDD-like HARQ timeline with long PUCCH in FDD</w:t>
      </w:r>
      <w:r w:rsidR="00EC0E69">
        <w:t xml:space="preserve"> (3 DL and 2 UL HARQ processes)</w:t>
      </w:r>
    </w:p>
    <w:p w14:paraId="2C9CFD5E" w14:textId="77777777" w:rsidR="009F7C2E" w:rsidRPr="009F7C2E" w:rsidRDefault="009F7C2E" w:rsidP="009F7C2E"/>
    <w:p w14:paraId="10B67152" w14:textId="090B783D" w:rsidR="00371965" w:rsidRDefault="009F7C2E" w:rsidP="00C12ADD">
      <w:pPr>
        <w:pStyle w:val="Heading2"/>
      </w:pPr>
      <w:r>
        <w:t>Additional HARQ with FDD full slots</w:t>
      </w:r>
    </w:p>
    <w:p w14:paraId="4E561F31" w14:textId="3E2916E3" w:rsidR="000D0B71" w:rsidRDefault="00543B1F" w:rsidP="000D0B71">
      <w:pPr>
        <w:rPr>
          <w:lang w:val="en-GB"/>
        </w:rPr>
      </w:pPr>
      <w:r>
        <w:rPr>
          <w:lang w:val="en-GB"/>
        </w:rPr>
        <w:t xml:space="preserve">HARQ timeline with </w:t>
      </w:r>
      <w:r w:rsidR="000D0B71">
        <w:rPr>
          <w:lang w:val="en-GB"/>
        </w:rPr>
        <w:t xml:space="preserve">FDD </w:t>
      </w:r>
      <w:r>
        <w:rPr>
          <w:lang w:val="en-GB"/>
        </w:rPr>
        <w:t>full</w:t>
      </w:r>
      <w:r w:rsidR="000D0B71">
        <w:rPr>
          <w:lang w:val="en-GB"/>
        </w:rPr>
        <w:t xml:space="preserve"> slots </w:t>
      </w:r>
      <w:r>
        <w:rPr>
          <w:lang w:val="en-GB"/>
        </w:rPr>
        <w:t xml:space="preserve">are shown </w:t>
      </w:r>
      <w:r w:rsidR="000D0B71">
        <w:rPr>
          <w:lang w:val="en-GB"/>
        </w:rPr>
        <w:t xml:space="preserve">with short PUCCH in Figure </w:t>
      </w:r>
      <w:r>
        <w:rPr>
          <w:lang w:val="en-GB"/>
        </w:rPr>
        <w:t>5</w:t>
      </w:r>
      <w:r w:rsidR="000D0B71">
        <w:rPr>
          <w:lang w:val="en-GB"/>
        </w:rPr>
        <w:t xml:space="preserve"> and with long PUCCH in Figure </w:t>
      </w:r>
      <w:r>
        <w:rPr>
          <w:lang w:val="en-GB"/>
        </w:rPr>
        <w:t>6</w:t>
      </w:r>
      <w:r w:rsidR="000D0B71">
        <w:rPr>
          <w:lang w:val="en-GB"/>
        </w:rPr>
        <w:t xml:space="preserve">. </w:t>
      </w:r>
      <w:r w:rsidR="00033EB8">
        <w:rPr>
          <w:lang w:val="en-GB"/>
        </w:rPr>
        <w:t xml:space="preserve">Compared to TDD-like HARQ timeline in subsection 3.1.1, One additional HARQ is needed for both DL and UL with one slot delay. </w:t>
      </w:r>
      <w:r w:rsidR="003E2818">
        <w:rPr>
          <w:lang w:val="en-GB"/>
        </w:rPr>
        <w:t>L</w:t>
      </w:r>
      <w:r w:rsidR="000D0B71">
        <w:rPr>
          <w:lang w:val="en-GB"/>
        </w:rPr>
        <w:t>ax timeline via cross slot scheduling/acknowledgement with more HARQ processes can be also supported.</w:t>
      </w:r>
    </w:p>
    <w:p w14:paraId="18106DEA" w14:textId="77777777" w:rsidR="000D0B71" w:rsidRPr="000D0B71" w:rsidRDefault="000D0B71" w:rsidP="000D0B71">
      <w:pPr>
        <w:rPr>
          <w:lang w:val="en-GB"/>
        </w:rPr>
      </w:pPr>
    </w:p>
    <w:p w14:paraId="1C532476" w14:textId="37E56FA9" w:rsidR="00AD4C7E" w:rsidRPr="00AD4C7E" w:rsidRDefault="00AD4C7E" w:rsidP="00AD4C7E">
      <w:pPr>
        <w:rPr>
          <w:lang w:val="en-GB"/>
        </w:rPr>
      </w:pPr>
      <w:r>
        <w:object w:dxaOrig="12692" w:dyaOrig="3504" w14:anchorId="6FEF545D">
          <v:shape id="_x0000_i1030" type="#_x0000_t75" style="width:481.5pt;height:132.75pt" o:ole="">
            <v:imagedata r:id="rId20" o:title=""/>
          </v:shape>
          <o:OLEObject Type="Embed" ProgID="Visio.Drawing.11" ShapeID="_x0000_i1030" DrawAspect="Content" ObjectID="_1564235022" r:id="rId21"/>
        </w:object>
      </w:r>
    </w:p>
    <w:p w14:paraId="2F3F120F" w14:textId="442E30DB" w:rsidR="00AD4C7E" w:rsidRDefault="00AD4C7E" w:rsidP="00AD4C7E">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5</w:t>
      </w:r>
      <w:r w:rsidR="006020A8">
        <w:rPr>
          <w:noProof/>
        </w:rPr>
        <w:fldChar w:fldCharType="end"/>
      </w:r>
      <w:r>
        <w:t>: FDD full slot HARQ timeline with short PUCCH in FDD (3 DL and 3 UL HARQ processes)</w:t>
      </w:r>
    </w:p>
    <w:p w14:paraId="21A49B46" w14:textId="3EE5A76F" w:rsidR="00AD4C7E" w:rsidRDefault="00AD4C7E" w:rsidP="00AD4C7E">
      <w:pPr>
        <w:keepNext/>
        <w:jc w:val="center"/>
      </w:pPr>
      <w:r>
        <w:object w:dxaOrig="12855" w:dyaOrig="3504" w14:anchorId="39BE9C34">
          <v:shape id="_x0000_i1031" type="#_x0000_t75" style="width:481.5pt;height:131.25pt" o:ole="">
            <v:imagedata r:id="rId22" o:title=""/>
          </v:shape>
          <o:OLEObject Type="Embed" ProgID="Visio.Drawing.11" ShapeID="_x0000_i1031" DrawAspect="Content" ObjectID="_1564235023" r:id="rId23"/>
        </w:object>
      </w:r>
    </w:p>
    <w:p w14:paraId="42E58D65" w14:textId="5037645F" w:rsidR="00AD4C7E" w:rsidRDefault="00AD4C7E" w:rsidP="00AD4C7E">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6</w:t>
      </w:r>
      <w:r w:rsidR="006020A8">
        <w:rPr>
          <w:noProof/>
        </w:rPr>
        <w:fldChar w:fldCharType="end"/>
      </w:r>
      <w:r>
        <w:t>: FDD full slot HARQ timeline with long PUCCH in FDD (4 DL and 3 UL HARQ processes)</w:t>
      </w:r>
    </w:p>
    <w:p w14:paraId="126BCE84" w14:textId="368BC8FF" w:rsidR="00AD4C7E" w:rsidRDefault="00AD4C7E" w:rsidP="00AD4C7E"/>
    <w:p w14:paraId="1EBB80EB" w14:textId="16D348BB" w:rsidR="00C1473E" w:rsidRDefault="00C1473E" w:rsidP="00C1473E">
      <w:pPr>
        <w:rPr>
          <w:lang w:val="en-GB"/>
        </w:rPr>
      </w:pPr>
      <w:r w:rsidRPr="00AF579C">
        <w:rPr>
          <w:b/>
          <w:u w:val="single"/>
          <w:lang w:val="en-GB"/>
        </w:rPr>
        <w:t xml:space="preserve">Observation </w:t>
      </w:r>
      <w:r w:rsidR="008A5FE7">
        <w:rPr>
          <w:b/>
          <w:u w:val="single"/>
          <w:lang w:val="en-GB"/>
        </w:rPr>
        <w:t>4</w:t>
      </w:r>
      <w:r>
        <w:rPr>
          <w:lang w:val="en-GB"/>
        </w:rPr>
        <w:t>: TDD-like HARQ timeline can be achieved in FDD with aligned UL.</w:t>
      </w:r>
    </w:p>
    <w:p w14:paraId="2BAAB063" w14:textId="77777777" w:rsidR="00C1473E" w:rsidRPr="00C1473E" w:rsidRDefault="00C1473E" w:rsidP="00AD4C7E">
      <w:pPr>
        <w:rPr>
          <w:lang w:val="en-GB"/>
        </w:rPr>
      </w:pPr>
    </w:p>
    <w:p w14:paraId="40799949" w14:textId="31180542" w:rsidR="00BF0963" w:rsidRDefault="007B48CD" w:rsidP="00BF0963">
      <w:pPr>
        <w:pStyle w:val="Heading2"/>
      </w:pPr>
      <w:r>
        <w:t>Other consideration</w:t>
      </w:r>
      <w:bookmarkStart w:id="2" w:name="_GoBack"/>
      <w:bookmarkEnd w:id="2"/>
    </w:p>
    <w:p w14:paraId="258AC5BB" w14:textId="4DD9D12F" w:rsidR="00E04234" w:rsidRDefault="007B48CD" w:rsidP="00E04234">
      <w:pPr>
        <w:rPr>
          <w:lang w:val="en-GB"/>
        </w:rPr>
      </w:pPr>
      <w:r>
        <w:rPr>
          <w:lang w:val="en-GB"/>
        </w:rPr>
        <w:t xml:space="preserve">For </w:t>
      </w:r>
      <w:r w:rsidR="003E2818">
        <w:rPr>
          <w:lang w:val="en-GB"/>
        </w:rPr>
        <w:t>FDD</w:t>
      </w:r>
      <w:r w:rsidR="00E0190F">
        <w:rPr>
          <w:lang w:val="en-GB"/>
        </w:rPr>
        <w:t>,</w:t>
      </w:r>
      <w:r w:rsidR="003E2818">
        <w:rPr>
          <w:lang w:val="en-GB"/>
        </w:rPr>
        <w:t xml:space="preserve"> </w:t>
      </w:r>
      <w:r>
        <w:rPr>
          <w:lang w:val="en-GB"/>
        </w:rPr>
        <w:t>a</w:t>
      </w:r>
      <w:r w:rsidR="00E0190F">
        <w:rPr>
          <w:lang w:val="en-GB"/>
        </w:rPr>
        <w:t>n</w:t>
      </w:r>
      <w:r>
        <w:rPr>
          <w:lang w:val="en-GB"/>
        </w:rPr>
        <w:t xml:space="preserve"> offset between UL slot and DL slot can be introduced via TA given </w:t>
      </w:r>
      <w:r w:rsidR="00E0190F">
        <w:rPr>
          <w:lang w:val="en-GB"/>
        </w:rPr>
        <w:t xml:space="preserve">there are parallel DL and UL spectrum. With an appropriate offset, </w:t>
      </w:r>
      <w:r w:rsidR="003E2818">
        <w:rPr>
          <w:lang w:val="en-GB"/>
        </w:rPr>
        <w:t>it can provide more evenly distributed processing time between UE and gNB</w:t>
      </w:r>
      <w:r w:rsidR="00E04234">
        <w:rPr>
          <w:lang w:val="en-GB"/>
        </w:rPr>
        <w:t xml:space="preserve">. </w:t>
      </w:r>
      <w:r w:rsidR="00A0461B">
        <w:rPr>
          <w:lang w:val="en-GB"/>
        </w:rPr>
        <w:t xml:space="preserve">Considering evenly distributed processing time, this may appear </w:t>
      </w:r>
      <w:r w:rsidR="006F20A7">
        <w:rPr>
          <w:lang w:val="en-GB"/>
        </w:rPr>
        <w:t xml:space="preserve">more attractive compared to aligned UL case. However, </w:t>
      </w:r>
      <w:r w:rsidR="00E0190F">
        <w:rPr>
          <w:lang w:val="en-GB"/>
        </w:rPr>
        <w:t>it will introduce deviation from TDD design and there would be issues with half-duplex FDD as discussed</w:t>
      </w:r>
      <w:r w:rsidR="006F20A7">
        <w:rPr>
          <w:lang w:val="en-GB"/>
        </w:rPr>
        <w:t xml:space="preserve"> in the next section.</w:t>
      </w:r>
      <w:r w:rsidR="00E0190F">
        <w:rPr>
          <w:lang w:val="en-GB"/>
        </w:rPr>
        <w:t xml:space="preserve"> It also should be noted that if UE and gNB is already budgeted for TDD timeline, no additional margin for processing time may be necessary with the same implementation.</w:t>
      </w:r>
    </w:p>
    <w:p w14:paraId="06308FAB" w14:textId="7C07D6FF" w:rsidR="00C1473E" w:rsidRDefault="00C1473E" w:rsidP="00C1473E">
      <w:pPr>
        <w:rPr>
          <w:lang w:val="en-GB"/>
        </w:rPr>
      </w:pPr>
      <w:r w:rsidRPr="00AF579C">
        <w:rPr>
          <w:b/>
          <w:u w:val="single"/>
          <w:lang w:val="en-GB"/>
        </w:rPr>
        <w:t xml:space="preserve">Observation </w:t>
      </w:r>
      <w:r w:rsidR="008A5FE7">
        <w:rPr>
          <w:b/>
          <w:u w:val="single"/>
          <w:lang w:val="en-GB"/>
        </w:rPr>
        <w:t>5</w:t>
      </w:r>
      <w:r>
        <w:rPr>
          <w:lang w:val="en-GB"/>
        </w:rPr>
        <w:t xml:space="preserve">: More balanced processing time can be achieved with </w:t>
      </w:r>
      <w:r w:rsidR="00E0190F">
        <w:rPr>
          <w:lang w:val="en-GB"/>
        </w:rPr>
        <w:t xml:space="preserve">introducing an </w:t>
      </w:r>
      <w:r>
        <w:rPr>
          <w:lang w:val="en-GB"/>
        </w:rPr>
        <w:t>offset</w:t>
      </w:r>
      <w:r w:rsidR="00E0190F">
        <w:rPr>
          <w:lang w:val="en-GB"/>
        </w:rPr>
        <w:t xml:space="preserve"> in</w:t>
      </w:r>
      <w:r>
        <w:rPr>
          <w:lang w:val="en-GB"/>
        </w:rPr>
        <w:t xml:space="preserve"> UL</w:t>
      </w:r>
      <w:r w:rsidR="00E0190F">
        <w:rPr>
          <w:lang w:val="en-GB"/>
        </w:rPr>
        <w:t xml:space="preserve"> slot</w:t>
      </w:r>
      <w:r>
        <w:rPr>
          <w:lang w:val="en-GB"/>
        </w:rPr>
        <w:t xml:space="preserve"> in FDD.</w:t>
      </w:r>
    </w:p>
    <w:p w14:paraId="52268768" w14:textId="77777777" w:rsidR="00C1473E" w:rsidRPr="00C1473E" w:rsidRDefault="00C1473E" w:rsidP="00B47389">
      <w:pPr>
        <w:rPr>
          <w:lang w:val="en-GB"/>
        </w:rPr>
      </w:pPr>
    </w:p>
    <w:p w14:paraId="4056FA22" w14:textId="524C13D5" w:rsidR="007D76AE" w:rsidRDefault="007D76AE" w:rsidP="007D76AE">
      <w:pPr>
        <w:pStyle w:val="Heading1"/>
      </w:pPr>
      <w:r>
        <w:t>Half Duplex FDD</w:t>
      </w:r>
    </w:p>
    <w:p w14:paraId="4BA1B68F" w14:textId="607C28DE" w:rsidR="0084166C" w:rsidRDefault="00243B7F" w:rsidP="0084166C">
      <w:pPr>
        <w:rPr>
          <w:lang w:val="en-GB"/>
        </w:rPr>
      </w:pPr>
      <w:r>
        <w:rPr>
          <w:lang w:val="en-GB"/>
        </w:rPr>
        <w:t>This section looks into h</w:t>
      </w:r>
      <w:r w:rsidR="006839BA">
        <w:rPr>
          <w:lang w:val="en-GB"/>
        </w:rPr>
        <w:t>alf duplex FDD</w:t>
      </w:r>
      <w:r>
        <w:rPr>
          <w:lang w:val="en-GB"/>
        </w:rPr>
        <w:t xml:space="preserve"> (HD-FDD)</w:t>
      </w:r>
      <w:r w:rsidR="006839BA">
        <w:rPr>
          <w:lang w:val="en-GB"/>
        </w:rPr>
        <w:t xml:space="preserve"> operation for NR.</w:t>
      </w:r>
      <w:r>
        <w:rPr>
          <w:lang w:val="en-GB"/>
        </w:rPr>
        <w:t xml:space="preserve"> </w:t>
      </w:r>
      <w:r w:rsidR="007A3226">
        <w:rPr>
          <w:lang w:val="en-GB"/>
        </w:rPr>
        <w:t xml:space="preserve">Similar to LTE, we assume the same rule of operation for HD-FDD UE in NR, i.e., UE listens to DL unless transmitting on UL. </w:t>
      </w:r>
      <w:r>
        <w:rPr>
          <w:lang w:val="en-GB"/>
        </w:rPr>
        <w:t xml:space="preserve">Figure 9 and Figure 10 shows DL and UL HARQ timeline for HD-FDD with aligned UL. </w:t>
      </w:r>
      <w:r w:rsidR="007A3226">
        <w:rPr>
          <w:lang w:val="en-GB"/>
        </w:rPr>
        <w:t>For DL HARQ, 2 DL HARQ processes can be used. With short PUCCH, TDD-like timeline can be achieved. With long PUCCH, toggling of DL slot and UL slot can be naturally adopted. Blank portion can be utilized by full-duplex UEs. For UL HARQ, 2 UL HARQ processes with TDD-like timeline can be fulfilled. Blank portion can also be utilized by full-duplex UEs.</w:t>
      </w:r>
    </w:p>
    <w:p w14:paraId="1638C762" w14:textId="4755F25B" w:rsidR="00B87AF3" w:rsidRDefault="00B87AF3" w:rsidP="0084166C">
      <w:pPr>
        <w:rPr>
          <w:lang w:val="en-GB"/>
        </w:rPr>
      </w:pPr>
      <w:r>
        <w:rPr>
          <w:lang w:val="en-GB"/>
        </w:rPr>
        <w:t xml:space="preserve">On the other hand, in the case of </w:t>
      </w:r>
      <w:r w:rsidR="00E0190F">
        <w:rPr>
          <w:lang w:val="en-GB"/>
        </w:rPr>
        <w:t>U</w:t>
      </w:r>
      <w:r>
        <w:rPr>
          <w:lang w:val="en-GB"/>
        </w:rPr>
        <w:t>L</w:t>
      </w:r>
      <w:r w:rsidR="00E0190F">
        <w:rPr>
          <w:lang w:val="en-GB"/>
        </w:rPr>
        <w:t xml:space="preserve"> with an offset relative to DL slot</w:t>
      </w:r>
      <w:r>
        <w:rPr>
          <w:lang w:val="en-GB"/>
        </w:rPr>
        <w:t xml:space="preserve">, it </w:t>
      </w:r>
      <w:r w:rsidR="00E0190F">
        <w:rPr>
          <w:lang w:val="en-GB"/>
        </w:rPr>
        <w:t>would be</w:t>
      </w:r>
      <w:r>
        <w:rPr>
          <w:lang w:val="en-GB"/>
        </w:rPr>
        <w:t xml:space="preserve"> trickier </w:t>
      </w:r>
      <w:r w:rsidR="00981FCE">
        <w:rPr>
          <w:lang w:val="en-GB"/>
        </w:rPr>
        <w:t>to operate HD-FDD</w:t>
      </w:r>
      <w:r w:rsidR="00E0190F">
        <w:rPr>
          <w:lang w:val="en-GB"/>
        </w:rPr>
        <w:t xml:space="preserve"> compared to the timeline shown in Figure 9 and 10</w:t>
      </w:r>
      <w:r w:rsidR="00981FCE">
        <w:rPr>
          <w:lang w:val="en-GB"/>
        </w:rPr>
        <w:t xml:space="preserve">. Due to the nature of mis-alignment, it </w:t>
      </w:r>
      <w:r w:rsidR="00E0190F">
        <w:rPr>
          <w:lang w:val="en-GB"/>
        </w:rPr>
        <w:t>may be</w:t>
      </w:r>
      <w:r w:rsidR="00981FCE">
        <w:rPr>
          <w:lang w:val="en-GB"/>
        </w:rPr>
        <w:t xml:space="preserve"> necessary to puncture data when ACK is transmitted. This may require additional signalling to indicate the puncturing. Also the operation is not quite clean compared to the aligned UL case.</w:t>
      </w:r>
    </w:p>
    <w:p w14:paraId="7F8C6ECE" w14:textId="77777777" w:rsidR="007A3226" w:rsidRPr="0084166C" w:rsidRDefault="007A3226" w:rsidP="0084166C">
      <w:pPr>
        <w:rPr>
          <w:lang w:val="en-GB"/>
        </w:rPr>
      </w:pPr>
    </w:p>
    <w:p w14:paraId="24091627" w14:textId="77777777" w:rsidR="006839BA" w:rsidRDefault="0084166C" w:rsidP="006839BA">
      <w:pPr>
        <w:keepNext/>
        <w:jc w:val="center"/>
      </w:pPr>
      <w:r>
        <w:object w:dxaOrig="12691" w:dyaOrig="7464" w14:anchorId="77AB28D7">
          <v:shape id="_x0000_i1034" type="#_x0000_t75" style="width:481.5pt;height:283.5pt" o:ole="">
            <v:imagedata r:id="rId24" o:title=""/>
          </v:shape>
          <o:OLEObject Type="Embed" ProgID="Visio.Drawing.11" ShapeID="_x0000_i1034" DrawAspect="Content" ObjectID="_1564235024" r:id="rId25"/>
        </w:object>
      </w:r>
    </w:p>
    <w:p w14:paraId="3B26C106" w14:textId="4AA355A3" w:rsidR="00BF0963" w:rsidRDefault="006839BA" w:rsidP="006839BA">
      <w:pPr>
        <w:pStyle w:val="Caption"/>
        <w:jc w:val="center"/>
      </w:pPr>
      <w:r>
        <w:t xml:space="preserve">Figure </w:t>
      </w:r>
      <w:r w:rsidR="006020A8">
        <w:fldChar w:fldCharType="begin"/>
      </w:r>
      <w:r w:rsidR="006020A8">
        <w:instrText xml:space="preserve"> SEQ Figure \* ARABIC </w:instrText>
      </w:r>
      <w:r w:rsidR="006020A8">
        <w:fldChar w:fldCharType="separate"/>
      </w:r>
      <w:r w:rsidR="000F1A06">
        <w:rPr>
          <w:noProof/>
        </w:rPr>
        <w:t>9</w:t>
      </w:r>
      <w:r w:rsidR="006020A8">
        <w:rPr>
          <w:noProof/>
        </w:rPr>
        <w:fldChar w:fldCharType="end"/>
      </w:r>
      <w:r>
        <w:t xml:space="preserve">: </w:t>
      </w:r>
      <w:r w:rsidR="0071181D">
        <w:t>HD-FDD DL HARQ timeline with aligned UL</w:t>
      </w:r>
    </w:p>
    <w:p w14:paraId="78ED2A09" w14:textId="77777777" w:rsidR="000F1A06" w:rsidRDefault="006839BA" w:rsidP="000F1A06">
      <w:pPr>
        <w:keepNext/>
        <w:jc w:val="center"/>
      </w:pPr>
      <w:r w:rsidRPr="006839BA">
        <w:object w:dxaOrig="7651" w:dyaOrig="3504" w14:anchorId="3E916CC4">
          <v:shape id="_x0000_i1035" type="#_x0000_t75" style="width:382.5pt;height:175.5pt" o:ole="">
            <v:imagedata r:id="rId26" o:title=""/>
          </v:shape>
          <o:OLEObject Type="Embed" ProgID="Visio.Drawing.11" ShapeID="_x0000_i1035" DrawAspect="Content" ObjectID="_1564235025" r:id="rId27"/>
        </w:object>
      </w:r>
    </w:p>
    <w:p w14:paraId="7B5DB255" w14:textId="6EE58F17" w:rsidR="006839BA" w:rsidRDefault="000F1A06" w:rsidP="000F1A06">
      <w:pPr>
        <w:pStyle w:val="Caption"/>
        <w:jc w:val="center"/>
      </w:pPr>
      <w:r>
        <w:t xml:space="preserve">Figure </w:t>
      </w:r>
      <w:r w:rsidR="006020A8">
        <w:fldChar w:fldCharType="begin"/>
      </w:r>
      <w:r w:rsidR="006020A8">
        <w:instrText xml:space="preserve"> SEQ Figure \* ARABIC </w:instrText>
      </w:r>
      <w:r w:rsidR="006020A8">
        <w:fldChar w:fldCharType="separate"/>
      </w:r>
      <w:r>
        <w:rPr>
          <w:noProof/>
        </w:rPr>
        <w:t>10</w:t>
      </w:r>
      <w:r w:rsidR="006020A8">
        <w:rPr>
          <w:noProof/>
        </w:rPr>
        <w:fldChar w:fldCharType="end"/>
      </w:r>
      <w:r>
        <w:t>:</w:t>
      </w:r>
      <w:r w:rsidR="0071181D">
        <w:t xml:space="preserve"> HD-FDD UL HARQ timeline with aligned UL</w:t>
      </w:r>
    </w:p>
    <w:p w14:paraId="52F4CF3E" w14:textId="306B290B" w:rsidR="00C1473E" w:rsidRDefault="00C1473E" w:rsidP="00C1473E"/>
    <w:p w14:paraId="77705006" w14:textId="15FF032F" w:rsidR="00C1473E" w:rsidRDefault="00C1473E" w:rsidP="00C1473E">
      <w:pPr>
        <w:rPr>
          <w:lang w:val="en-GB"/>
        </w:rPr>
      </w:pPr>
      <w:r w:rsidRPr="00AF579C">
        <w:rPr>
          <w:b/>
          <w:u w:val="single"/>
          <w:lang w:val="en-GB"/>
        </w:rPr>
        <w:t xml:space="preserve">Observation </w:t>
      </w:r>
      <w:r w:rsidR="008A5FE7">
        <w:rPr>
          <w:b/>
          <w:u w:val="single"/>
          <w:lang w:val="en-GB"/>
        </w:rPr>
        <w:t>6</w:t>
      </w:r>
      <w:r>
        <w:rPr>
          <w:lang w:val="en-GB"/>
        </w:rPr>
        <w:t>: HD-FDD can be easily adopted for FDD with aligned UL.</w:t>
      </w:r>
    </w:p>
    <w:p w14:paraId="56871514" w14:textId="521655A2" w:rsidR="00C1473E" w:rsidRDefault="00C1473E" w:rsidP="00C1473E">
      <w:pPr>
        <w:rPr>
          <w:lang w:val="en-GB"/>
        </w:rPr>
      </w:pPr>
    </w:p>
    <w:p w14:paraId="3DE00B48" w14:textId="1AA66CD2" w:rsidR="00C1473E" w:rsidRDefault="00C1473E" w:rsidP="00C1473E">
      <w:pPr>
        <w:pStyle w:val="Heading1"/>
      </w:pPr>
      <w:r>
        <w:t>Conclusion</w:t>
      </w:r>
    </w:p>
    <w:p w14:paraId="47203730" w14:textId="08998B6B" w:rsidR="00C1473E" w:rsidRDefault="00C1473E" w:rsidP="00C1473E">
      <w:r>
        <w:t>This contribution has provided overview on NR FDD design focusing on HARQ procedure, based on the agreements so far made in 3GPP. The following observations have been made:</w:t>
      </w:r>
    </w:p>
    <w:p w14:paraId="730A85A5" w14:textId="77777777" w:rsidR="00C1473E" w:rsidRDefault="00C1473E" w:rsidP="00C1473E">
      <w:pPr>
        <w:rPr>
          <w:lang w:val="en-GB"/>
        </w:rPr>
      </w:pPr>
      <w:r w:rsidRPr="00AF579C">
        <w:rPr>
          <w:b/>
          <w:u w:val="single"/>
          <w:lang w:val="en-GB"/>
        </w:rPr>
        <w:t>Observation 1</w:t>
      </w:r>
      <w:r>
        <w:rPr>
          <w:lang w:val="en-GB"/>
        </w:rPr>
        <w:t>: No new slot structure needs to be introduced for FDD.</w:t>
      </w:r>
    </w:p>
    <w:p w14:paraId="3FA5D593" w14:textId="77777777" w:rsidR="008A5FE7" w:rsidRDefault="008A5FE7" w:rsidP="008A5FE7">
      <w:pPr>
        <w:rPr>
          <w:lang w:val="en-GB"/>
        </w:rPr>
      </w:pPr>
      <w:r w:rsidRPr="00AF579C">
        <w:rPr>
          <w:b/>
          <w:u w:val="single"/>
          <w:lang w:val="en-GB"/>
        </w:rPr>
        <w:t xml:space="preserve">Observation </w:t>
      </w:r>
      <w:r>
        <w:rPr>
          <w:b/>
          <w:u w:val="single"/>
          <w:lang w:val="en-GB"/>
        </w:rPr>
        <w:t>2</w:t>
      </w:r>
      <w:r>
        <w:rPr>
          <w:lang w:val="en-GB"/>
        </w:rPr>
        <w:t>: For both DL and UL PHY channels, TDD and FDD can share the same design.</w:t>
      </w:r>
    </w:p>
    <w:p w14:paraId="57FF513A" w14:textId="77777777" w:rsidR="008A5FE7" w:rsidRDefault="008A5FE7" w:rsidP="008A5FE7">
      <w:pPr>
        <w:rPr>
          <w:lang w:val="en-GB"/>
        </w:rPr>
      </w:pPr>
      <w:r w:rsidRPr="00AF579C">
        <w:rPr>
          <w:b/>
          <w:u w:val="single"/>
          <w:lang w:val="en-GB"/>
        </w:rPr>
        <w:t xml:space="preserve">Observation </w:t>
      </w:r>
      <w:r>
        <w:rPr>
          <w:b/>
          <w:u w:val="single"/>
          <w:lang w:val="en-GB"/>
        </w:rPr>
        <w:t>3</w:t>
      </w:r>
      <w:r>
        <w:rPr>
          <w:lang w:val="en-GB"/>
        </w:rPr>
        <w:t>: RMSI can provide TDD/FDD information.</w:t>
      </w:r>
    </w:p>
    <w:p w14:paraId="674972CC" w14:textId="3D508A82" w:rsidR="00C1473E" w:rsidRDefault="00C1473E" w:rsidP="00C1473E">
      <w:pPr>
        <w:rPr>
          <w:lang w:val="en-GB"/>
        </w:rPr>
      </w:pPr>
      <w:r w:rsidRPr="00AF579C">
        <w:rPr>
          <w:b/>
          <w:u w:val="single"/>
          <w:lang w:val="en-GB"/>
        </w:rPr>
        <w:t xml:space="preserve">Observation </w:t>
      </w:r>
      <w:r w:rsidR="008A5FE7">
        <w:rPr>
          <w:b/>
          <w:u w:val="single"/>
          <w:lang w:val="en-GB"/>
        </w:rPr>
        <w:t>4</w:t>
      </w:r>
      <w:r>
        <w:rPr>
          <w:lang w:val="en-GB"/>
        </w:rPr>
        <w:t>: TDD-like HARQ timeline can be achieved in FDD with aligned UL.</w:t>
      </w:r>
    </w:p>
    <w:p w14:paraId="48B1D4A9" w14:textId="6F5425C0" w:rsidR="00C1473E" w:rsidRDefault="00C1473E" w:rsidP="00C1473E">
      <w:pPr>
        <w:rPr>
          <w:lang w:val="en-GB"/>
        </w:rPr>
      </w:pPr>
      <w:r w:rsidRPr="00AF579C">
        <w:rPr>
          <w:b/>
          <w:u w:val="single"/>
          <w:lang w:val="en-GB"/>
        </w:rPr>
        <w:lastRenderedPageBreak/>
        <w:t xml:space="preserve">Observation </w:t>
      </w:r>
      <w:r w:rsidR="008A5FE7">
        <w:rPr>
          <w:b/>
          <w:u w:val="single"/>
          <w:lang w:val="en-GB"/>
        </w:rPr>
        <w:t>5</w:t>
      </w:r>
      <w:r>
        <w:rPr>
          <w:lang w:val="en-GB"/>
        </w:rPr>
        <w:t>: More balanced processing time can be achieved with offseted UL in FDD.</w:t>
      </w:r>
    </w:p>
    <w:p w14:paraId="21A89C2B" w14:textId="058675BA" w:rsidR="00C1473E" w:rsidRDefault="00C1473E" w:rsidP="00C1473E">
      <w:pPr>
        <w:rPr>
          <w:lang w:val="en-GB"/>
        </w:rPr>
      </w:pPr>
      <w:r w:rsidRPr="00AF579C">
        <w:rPr>
          <w:b/>
          <w:u w:val="single"/>
          <w:lang w:val="en-GB"/>
        </w:rPr>
        <w:t xml:space="preserve">Observation </w:t>
      </w:r>
      <w:r w:rsidR="008A5FE7">
        <w:rPr>
          <w:b/>
          <w:u w:val="single"/>
          <w:lang w:val="en-GB"/>
        </w:rPr>
        <w:t>6</w:t>
      </w:r>
      <w:r>
        <w:rPr>
          <w:lang w:val="en-GB"/>
        </w:rPr>
        <w:t>: HD-FDD can be easily adopted for FDD with aligned UL.</w:t>
      </w:r>
    </w:p>
    <w:sectPr w:rsidR="00C1473E" w:rsidSect="008331BB">
      <w:headerReference w:type="even" r:id="rId28"/>
      <w:footerReference w:type="even" r:id="rId29"/>
      <w:footerReference w:type="default" r:id="rId30"/>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A081BF" w14:textId="77777777" w:rsidR="006020A8" w:rsidRDefault="006020A8">
      <w:r>
        <w:separator/>
      </w:r>
    </w:p>
  </w:endnote>
  <w:endnote w:type="continuationSeparator" w:id="0">
    <w:p w14:paraId="58EC1CEF" w14:textId="77777777" w:rsidR="006020A8" w:rsidRDefault="006020A8">
      <w:r>
        <w:continuationSeparator/>
      </w:r>
    </w:p>
  </w:endnote>
  <w:endnote w:type="continuationNotice" w:id="1">
    <w:p w14:paraId="3D73EE88" w14:textId="77777777" w:rsidR="006020A8" w:rsidRDefault="006020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C72B80" w:rsidRDefault="00C72B8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C72B80" w:rsidRDefault="00C72B8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2C8D15B4" w:rsidR="00C72B80" w:rsidRDefault="00C72B8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12ADD">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12AD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F0E502" w14:textId="77777777" w:rsidR="006020A8" w:rsidRDefault="006020A8">
      <w:r>
        <w:separator/>
      </w:r>
    </w:p>
  </w:footnote>
  <w:footnote w:type="continuationSeparator" w:id="0">
    <w:p w14:paraId="614FDA90" w14:textId="77777777" w:rsidR="006020A8" w:rsidRDefault="006020A8">
      <w:r>
        <w:continuationSeparator/>
      </w:r>
    </w:p>
  </w:footnote>
  <w:footnote w:type="continuationNotice" w:id="1">
    <w:p w14:paraId="154A814F" w14:textId="77777777" w:rsidR="006020A8" w:rsidRDefault="006020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C72B80" w:rsidRDefault="00C72B8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75pt;height:15.75pt" o:bullet="t">
        <v:imagedata r:id="rId1" o:title="art4585"/>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992CDC8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84511D"/>
    <w:multiLevelType w:val="hybridMultilevel"/>
    <w:tmpl w:val="04DE1272"/>
    <w:lvl w:ilvl="0" w:tplc="F6EA07FC">
      <w:start w:val="1"/>
      <w:numFmt w:val="bullet"/>
      <w:lvlText w:val="•"/>
      <w:lvlJc w:val="left"/>
      <w:pPr>
        <w:tabs>
          <w:tab w:val="num" w:pos="720"/>
        </w:tabs>
        <w:ind w:left="720" w:hanging="360"/>
      </w:pPr>
      <w:rPr>
        <w:rFonts w:ascii="Arial" w:hAnsi="Arial" w:hint="default"/>
      </w:rPr>
    </w:lvl>
    <w:lvl w:ilvl="1" w:tplc="CF5212F8">
      <w:numFmt w:val="bullet"/>
      <w:lvlText w:val="•"/>
      <w:lvlJc w:val="left"/>
      <w:pPr>
        <w:tabs>
          <w:tab w:val="num" w:pos="1440"/>
        </w:tabs>
        <w:ind w:left="1440" w:hanging="360"/>
      </w:pPr>
      <w:rPr>
        <w:rFonts w:ascii="Arial" w:hAnsi="Arial" w:hint="default"/>
      </w:rPr>
    </w:lvl>
    <w:lvl w:ilvl="2" w:tplc="1B2857B6">
      <w:numFmt w:val="bullet"/>
      <w:lvlText w:val="•"/>
      <w:lvlJc w:val="left"/>
      <w:pPr>
        <w:tabs>
          <w:tab w:val="num" w:pos="2160"/>
        </w:tabs>
        <w:ind w:left="2160" w:hanging="360"/>
      </w:pPr>
      <w:rPr>
        <w:rFonts w:ascii="Arial" w:hAnsi="Arial" w:hint="default"/>
      </w:rPr>
    </w:lvl>
    <w:lvl w:ilvl="3" w:tplc="5CF0C03E" w:tentative="1">
      <w:start w:val="1"/>
      <w:numFmt w:val="bullet"/>
      <w:lvlText w:val="•"/>
      <w:lvlJc w:val="left"/>
      <w:pPr>
        <w:tabs>
          <w:tab w:val="num" w:pos="2880"/>
        </w:tabs>
        <w:ind w:left="2880" w:hanging="360"/>
      </w:pPr>
      <w:rPr>
        <w:rFonts w:ascii="Arial" w:hAnsi="Arial" w:hint="default"/>
      </w:rPr>
    </w:lvl>
    <w:lvl w:ilvl="4" w:tplc="C35E81EA" w:tentative="1">
      <w:start w:val="1"/>
      <w:numFmt w:val="bullet"/>
      <w:lvlText w:val="•"/>
      <w:lvlJc w:val="left"/>
      <w:pPr>
        <w:tabs>
          <w:tab w:val="num" w:pos="3600"/>
        </w:tabs>
        <w:ind w:left="3600" w:hanging="360"/>
      </w:pPr>
      <w:rPr>
        <w:rFonts w:ascii="Arial" w:hAnsi="Arial" w:hint="default"/>
      </w:rPr>
    </w:lvl>
    <w:lvl w:ilvl="5" w:tplc="93780012" w:tentative="1">
      <w:start w:val="1"/>
      <w:numFmt w:val="bullet"/>
      <w:lvlText w:val="•"/>
      <w:lvlJc w:val="left"/>
      <w:pPr>
        <w:tabs>
          <w:tab w:val="num" w:pos="4320"/>
        </w:tabs>
        <w:ind w:left="4320" w:hanging="360"/>
      </w:pPr>
      <w:rPr>
        <w:rFonts w:ascii="Arial" w:hAnsi="Arial" w:hint="default"/>
      </w:rPr>
    </w:lvl>
    <w:lvl w:ilvl="6" w:tplc="F7FC3CA2" w:tentative="1">
      <w:start w:val="1"/>
      <w:numFmt w:val="bullet"/>
      <w:lvlText w:val="•"/>
      <w:lvlJc w:val="left"/>
      <w:pPr>
        <w:tabs>
          <w:tab w:val="num" w:pos="5040"/>
        </w:tabs>
        <w:ind w:left="5040" w:hanging="360"/>
      </w:pPr>
      <w:rPr>
        <w:rFonts w:ascii="Arial" w:hAnsi="Arial" w:hint="default"/>
      </w:rPr>
    </w:lvl>
    <w:lvl w:ilvl="7" w:tplc="7E924964" w:tentative="1">
      <w:start w:val="1"/>
      <w:numFmt w:val="bullet"/>
      <w:lvlText w:val="•"/>
      <w:lvlJc w:val="left"/>
      <w:pPr>
        <w:tabs>
          <w:tab w:val="num" w:pos="5760"/>
        </w:tabs>
        <w:ind w:left="5760" w:hanging="360"/>
      </w:pPr>
      <w:rPr>
        <w:rFonts w:ascii="Arial" w:hAnsi="Arial" w:hint="default"/>
      </w:rPr>
    </w:lvl>
    <w:lvl w:ilvl="8" w:tplc="D7CAD92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6D177E"/>
    <w:multiLevelType w:val="hybridMultilevel"/>
    <w:tmpl w:val="C7E415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0472AD"/>
    <w:multiLevelType w:val="hybridMultilevel"/>
    <w:tmpl w:val="55FAD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4117E61"/>
    <w:multiLevelType w:val="hybridMultilevel"/>
    <w:tmpl w:val="375E60FC"/>
    <w:lvl w:ilvl="0" w:tplc="226E3606">
      <w:start w:val="1"/>
      <w:numFmt w:val="bullet"/>
      <w:lvlText w:val="•"/>
      <w:lvlJc w:val="left"/>
      <w:pPr>
        <w:tabs>
          <w:tab w:val="num" w:pos="720"/>
        </w:tabs>
        <w:ind w:left="720" w:hanging="360"/>
      </w:pPr>
      <w:rPr>
        <w:rFonts w:ascii="Arial" w:hAnsi="Arial" w:hint="default"/>
      </w:rPr>
    </w:lvl>
    <w:lvl w:ilvl="1" w:tplc="00FACF90">
      <w:numFmt w:val="bullet"/>
      <w:lvlText w:val="•"/>
      <w:lvlJc w:val="left"/>
      <w:pPr>
        <w:tabs>
          <w:tab w:val="num" w:pos="1440"/>
        </w:tabs>
        <w:ind w:left="1440" w:hanging="360"/>
      </w:pPr>
      <w:rPr>
        <w:rFonts w:ascii="Arial" w:hAnsi="Arial" w:hint="default"/>
      </w:rPr>
    </w:lvl>
    <w:lvl w:ilvl="2" w:tplc="7E0E6DDA">
      <w:numFmt w:val="bullet"/>
      <w:lvlText w:val="•"/>
      <w:lvlJc w:val="left"/>
      <w:pPr>
        <w:tabs>
          <w:tab w:val="num" w:pos="2160"/>
        </w:tabs>
        <w:ind w:left="2160" w:hanging="360"/>
      </w:pPr>
      <w:rPr>
        <w:rFonts w:ascii="Arial" w:hAnsi="Arial" w:hint="default"/>
      </w:rPr>
    </w:lvl>
    <w:lvl w:ilvl="3" w:tplc="A46C6A0E">
      <w:numFmt w:val="bullet"/>
      <w:lvlText w:val="•"/>
      <w:lvlJc w:val="left"/>
      <w:pPr>
        <w:tabs>
          <w:tab w:val="num" w:pos="2880"/>
        </w:tabs>
        <w:ind w:left="2880" w:hanging="360"/>
      </w:pPr>
      <w:rPr>
        <w:rFonts w:ascii="Arial" w:hAnsi="Arial" w:hint="default"/>
      </w:rPr>
    </w:lvl>
    <w:lvl w:ilvl="4" w:tplc="0B86714C" w:tentative="1">
      <w:start w:val="1"/>
      <w:numFmt w:val="bullet"/>
      <w:lvlText w:val="•"/>
      <w:lvlJc w:val="left"/>
      <w:pPr>
        <w:tabs>
          <w:tab w:val="num" w:pos="3600"/>
        </w:tabs>
        <w:ind w:left="3600" w:hanging="360"/>
      </w:pPr>
      <w:rPr>
        <w:rFonts w:ascii="Arial" w:hAnsi="Arial" w:hint="default"/>
      </w:rPr>
    </w:lvl>
    <w:lvl w:ilvl="5" w:tplc="DDB4BECA" w:tentative="1">
      <w:start w:val="1"/>
      <w:numFmt w:val="bullet"/>
      <w:lvlText w:val="•"/>
      <w:lvlJc w:val="left"/>
      <w:pPr>
        <w:tabs>
          <w:tab w:val="num" w:pos="4320"/>
        </w:tabs>
        <w:ind w:left="4320" w:hanging="360"/>
      </w:pPr>
      <w:rPr>
        <w:rFonts w:ascii="Arial" w:hAnsi="Arial" w:hint="default"/>
      </w:rPr>
    </w:lvl>
    <w:lvl w:ilvl="6" w:tplc="F4949912" w:tentative="1">
      <w:start w:val="1"/>
      <w:numFmt w:val="bullet"/>
      <w:lvlText w:val="•"/>
      <w:lvlJc w:val="left"/>
      <w:pPr>
        <w:tabs>
          <w:tab w:val="num" w:pos="5040"/>
        </w:tabs>
        <w:ind w:left="5040" w:hanging="360"/>
      </w:pPr>
      <w:rPr>
        <w:rFonts w:ascii="Arial" w:hAnsi="Arial" w:hint="default"/>
      </w:rPr>
    </w:lvl>
    <w:lvl w:ilvl="7" w:tplc="EF6E116E" w:tentative="1">
      <w:start w:val="1"/>
      <w:numFmt w:val="bullet"/>
      <w:lvlText w:val="•"/>
      <w:lvlJc w:val="left"/>
      <w:pPr>
        <w:tabs>
          <w:tab w:val="num" w:pos="5760"/>
        </w:tabs>
        <w:ind w:left="5760" w:hanging="360"/>
      </w:pPr>
      <w:rPr>
        <w:rFonts w:ascii="Arial" w:hAnsi="Arial" w:hint="default"/>
      </w:rPr>
    </w:lvl>
    <w:lvl w:ilvl="8" w:tplc="F8A217C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423E3D"/>
    <w:multiLevelType w:val="hybridMultilevel"/>
    <w:tmpl w:val="D278C9E2"/>
    <w:lvl w:ilvl="0" w:tplc="9D8A6048">
      <w:start w:val="1"/>
      <w:numFmt w:val="bullet"/>
      <w:lvlText w:val="•"/>
      <w:lvlJc w:val="left"/>
      <w:pPr>
        <w:tabs>
          <w:tab w:val="num" w:pos="720"/>
        </w:tabs>
        <w:ind w:left="720" w:hanging="360"/>
      </w:pPr>
      <w:rPr>
        <w:rFonts w:ascii="Arial" w:hAnsi="Arial" w:hint="default"/>
      </w:rPr>
    </w:lvl>
    <w:lvl w:ilvl="1" w:tplc="37B811AE">
      <w:numFmt w:val="bullet"/>
      <w:lvlText w:val="–"/>
      <w:lvlJc w:val="left"/>
      <w:pPr>
        <w:tabs>
          <w:tab w:val="num" w:pos="1440"/>
        </w:tabs>
        <w:ind w:left="1440" w:hanging="360"/>
      </w:pPr>
      <w:rPr>
        <w:rFonts w:ascii="Arial" w:hAnsi="Arial" w:hint="default"/>
      </w:rPr>
    </w:lvl>
    <w:lvl w:ilvl="2" w:tplc="B740C4E6">
      <w:start w:val="1"/>
      <w:numFmt w:val="bullet"/>
      <w:lvlText w:val="•"/>
      <w:lvlJc w:val="left"/>
      <w:pPr>
        <w:tabs>
          <w:tab w:val="num" w:pos="2160"/>
        </w:tabs>
        <w:ind w:left="2160" w:hanging="360"/>
      </w:pPr>
      <w:rPr>
        <w:rFonts w:ascii="Arial" w:hAnsi="Arial" w:hint="default"/>
      </w:rPr>
    </w:lvl>
    <w:lvl w:ilvl="3" w:tplc="5B7AD4C4" w:tentative="1">
      <w:start w:val="1"/>
      <w:numFmt w:val="bullet"/>
      <w:lvlText w:val="•"/>
      <w:lvlJc w:val="left"/>
      <w:pPr>
        <w:tabs>
          <w:tab w:val="num" w:pos="2880"/>
        </w:tabs>
        <w:ind w:left="2880" w:hanging="360"/>
      </w:pPr>
      <w:rPr>
        <w:rFonts w:ascii="Arial" w:hAnsi="Arial" w:hint="default"/>
      </w:rPr>
    </w:lvl>
    <w:lvl w:ilvl="4" w:tplc="113467A2" w:tentative="1">
      <w:start w:val="1"/>
      <w:numFmt w:val="bullet"/>
      <w:lvlText w:val="•"/>
      <w:lvlJc w:val="left"/>
      <w:pPr>
        <w:tabs>
          <w:tab w:val="num" w:pos="3600"/>
        </w:tabs>
        <w:ind w:left="3600" w:hanging="360"/>
      </w:pPr>
      <w:rPr>
        <w:rFonts w:ascii="Arial" w:hAnsi="Arial" w:hint="default"/>
      </w:rPr>
    </w:lvl>
    <w:lvl w:ilvl="5" w:tplc="453EB7A8" w:tentative="1">
      <w:start w:val="1"/>
      <w:numFmt w:val="bullet"/>
      <w:lvlText w:val="•"/>
      <w:lvlJc w:val="left"/>
      <w:pPr>
        <w:tabs>
          <w:tab w:val="num" w:pos="4320"/>
        </w:tabs>
        <w:ind w:left="4320" w:hanging="360"/>
      </w:pPr>
      <w:rPr>
        <w:rFonts w:ascii="Arial" w:hAnsi="Arial" w:hint="default"/>
      </w:rPr>
    </w:lvl>
    <w:lvl w:ilvl="6" w:tplc="36246832" w:tentative="1">
      <w:start w:val="1"/>
      <w:numFmt w:val="bullet"/>
      <w:lvlText w:val="•"/>
      <w:lvlJc w:val="left"/>
      <w:pPr>
        <w:tabs>
          <w:tab w:val="num" w:pos="5040"/>
        </w:tabs>
        <w:ind w:left="5040" w:hanging="360"/>
      </w:pPr>
      <w:rPr>
        <w:rFonts w:ascii="Arial" w:hAnsi="Arial" w:hint="default"/>
      </w:rPr>
    </w:lvl>
    <w:lvl w:ilvl="7" w:tplc="A02AD27C" w:tentative="1">
      <w:start w:val="1"/>
      <w:numFmt w:val="bullet"/>
      <w:lvlText w:val="•"/>
      <w:lvlJc w:val="left"/>
      <w:pPr>
        <w:tabs>
          <w:tab w:val="num" w:pos="5760"/>
        </w:tabs>
        <w:ind w:left="5760" w:hanging="360"/>
      </w:pPr>
      <w:rPr>
        <w:rFonts w:ascii="Arial" w:hAnsi="Arial" w:hint="default"/>
      </w:rPr>
    </w:lvl>
    <w:lvl w:ilvl="8" w:tplc="8CC296C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E34E96"/>
    <w:multiLevelType w:val="hybridMultilevel"/>
    <w:tmpl w:val="1B32C5A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1D5302F"/>
    <w:multiLevelType w:val="hybridMultilevel"/>
    <w:tmpl w:val="53C29F32"/>
    <w:lvl w:ilvl="0" w:tplc="BEDCA22A">
      <w:start w:val="1"/>
      <w:numFmt w:val="bullet"/>
      <w:lvlText w:val="•"/>
      <w:lvlJc w:val="left"/>
      <w:pPr>
        <w:tabs>
          <w:tab w:val="num" w:pos="360"/>
        </w:tabs>
        <w:ind w:left="360" w:hanging="360"/>
      </w:pPr>
      <w:rPr>
        <w:rFonts w:ascii="Arial" w:hAnsi="Arial" w:hint="default"/>
      </w:rPr>
    </w:lvl>
    <w:lvl w:ilvl="1" w:tplc="D72E7896">
      <w:numFmt w:val="bullet"/>
      <w:lvlText w:val="–"/>
      <w:lvlJc w:val="left"/>
      <w:pPr>
        <w:tabs>
          <w:tab w:val="num" w:pos="1080"/>
        </w:tabs>
        <w:ind w:left="1080" w:hanging="360"/>
      </w:pPr>
      <w:rPr>
        <w:rFonts w:ascii="Arial" w:hAnsi="Arial" w:hint="default"/>
      </w:rPr>
    </w:lvl>
    <w:lvl w:ilvl="2" w:tplc="99FABAC0">
      <w:start w:val="1"/>
      <w:numFmt w:val="bullet"/>
      <w:lvlText w:val="•"/>
      <w:lvlJc w:val="left"/>
      <w:pPr>
        <w:tabs>
          <w:tab w:val="num" w:pos="1800"/>
        </w:tabs>
        <w:ind w:left="1800" w:hanging="360"/>
      </w:pPr>
      <w:rPr>
        <w:rFonts w:ascii="Arial" w:hAnsi="Arial" w:hint="default"/>
      </w:rPr>
    </w:lvl>
    <w:lvl w:ilvl="3" w:tplc="EA0664EC" w:tentative="1">
      <w:start w:val="1"/>
      <w:numFmt w:val="bullet"/>
      <w:lvlText w:val="•"/>
      <w:lvlJc w:val="left"/>
      <w:pPr>
        <w:tabs>
          <w:tab w:val="num" w:pos="2520"/>
        </w:tabs>
        <w:ind w:left="2520" w:hanging="360"/>
      </w:pPr>
      <w:rPr>
        <w:rFonts w:ascii="Arial" w:hAnsi="Arial" w:hint="default"/>
      </w:rPr>
    </w:lvl>
    <w:lvl w:ilvl="4" w:tplc="0CBCF4B8" w:tentative="1">
      <w:start w:val="1"/>
      <w:numFmt w:val="bullet"/>
      <w:lvlText w:val="•"/>
      <w:lvlJc w:val="left"/>
      <w:pPr>
        <w:tabs>
          <w:tab w:val="num" w:pos="3240"/>
        </w:tabs>
        <w:ind w:left="3240" w:hanging="360"/>
      </w:pPr>
      <w:rPr>
        <w:rFonts w:ascii="Arial" w:hAnsi="Arial" w:hint="default"/>
      </w:rPr>
    </w:lvl>
    <w:lvl w:ilvl="5" w:tplc="BACEFE74" w:tentative="1">
      <w:start w:val="1"/>
      <w:numFmt w:val="bullet"/>
      <w:lvlText w:val="•"/>
      <w:lvlJc w:val="left"/>
      <w:pPr>
        <w:tabs>
          <w:tab w:val="num" w:pos="3960"/>
        </w:tabs>
        <w:ind w:left="3960" w:hanging="360"/>
      </w:pPr>
      <w:rPr>
        <w:rFonts w:ascii="Arial" w:hAnsi="Arial" w:hint="default"/>
      </w:rPr>
    </w:lvl>
    <w:lvl w:ilvl="6" w:tplc="5AE8F5F0" w:tentative="1">
      <w:start w:val="1"/>
      <w:numFmt w:val="bullet"/>
      <w:lvlText w:val="•"/>
      <w:lvlJc w:val="left"/>
      <w:pPr>
        <w:tabs>
          <w:tab w:val="num" w:pos="4680"/>
        </w:tabs>
        <w:ind w:left="4680" w:hanging="360"/>
      </w:pPr>
      <w:rPr>
        <w:rFonts w:ascii="Arial" w:hAnsi="Arial" w:hint="default"/>
      </w:rPr>
    </w:lvl>
    <w:lvl w:ilvl="7" w:tplc="AB043FF6" w:tentative="1">
      <w:start w:val="1"/>
      <w:numFmt w:val="bullet"/>
      <w:lvlText w:val="•"/>
      <w:lvlJc w:val="left"/>
      <w:pPr>
        <w:tabs>
          <w:tab w:val="num" w:pos="5400"/>
        </w:tabs>
        <w:ind w:left="5400" w:hanging="360"/>
      </w:pPr>
      <w:rPr>
        <w:rFonts w:ascii="Arial" w:hAnsi="Arial" w:hint="default"/>
      </w:rPr>
    </w:lvl>
    <w:lvl w:ilvl="8" w:tplc="14882D3C"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4C26FB8"/>
    <w:multiLevelType w:val="hybridMultilevel"/>
    <w:tmpl w:val="561E5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1B6999"/>
    <w:multiLevelType w:val="hybridMultilevel"/>
    <w:tmpl w:val="C7CC8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3E08EC"/>
    <w:multiLevelType w:val="hybridMultilevel"/>
    <w:tmpl w:val="0234C0C6"/>
    <w:lvl w:ilvl="0" w:tplc="1ABE4A3C">
      <w:start w:val="1"/>
      <w:numFmt w:val="bullet"/>
      <w:lvlText w:val="•"/>
      <w:lvlJc w:val="left"/>
      <w:pPr>
        <w:tabs>
          <w:tab w:val="num" w:pos="360"/>
        </w:tabs>
        <w:ind w:left="360" w:hanging="360"/>
      </w:pPr>
      <w:rPr>
        <w:rFonts w:ascii="Arial" w:hAnsi="Arial" w:hint="default"/>
      </w:rPr>
    </w:lvl>
    <w:lvl w:ilvl="1" w:tplc="32FE852A">
      <w:numFmt w:val="bullet"/>
      <w:lvlText w:val="–"/>
      <w:lvlJc w:val="left"/>
      <w:pPr>
        <w:tabs>
          <w:tab w:val="num" w:pos="1080"/>
        </w:tabs>
        <w:ind w:left="1080" w:hanging="360"/>
      </w:pPr>
      <w:rPr>
        <w:rFonts w:ascii="Arial" w:hAnsi="Arial" w:hint="default"/>
      </w:rPr>
    </w:lvl>
    <w:lvl w:ilvl="2" w:tplc="0544788E">
      <w:numFmt w:val="bullet"/>
      <w:lvlText w:val="•"/>
      <w:lvlJc w:val="left"/>
      <w:pPr>
        <w:tabs>
          <w:tab w:val="num" w:pos="1800"/>
        </w:tabs>
        <w:ind w:left="1800" w:hanging="360"/>
      </w:pPr>
      <w:rPr>
        <w:rFonts w:ascii="Arial" w:hAnsi="Arial" w:hint="default"/>
      </w:rPr>
    </w:lvl>
    <w:lvl w:ilvl="3" w:tplc="8498434E" w:tentative="1">
      <w:start w:val="1"/>
      <w:numFmt w:val="bullet"/>
      <w:lvlText w:val="•"/>
      <w:lvlJc w:val="left"/>
      <w:pPr>
        <w:tabs>
          <w:tab w:val="num" w:pos="2520"/>
        </w:tabs>
        <w:ind w:left="2520" w:hanging="360"/>
      </w:pPr>
      <w:rPr>
        <w:rFonts w:ascii="Arial" w:hAnsi="Arial" w:hint="default"/>
      </w:rPr>
    </w:lvl>
    <w:lvl w:ilvl="4" w:tplc="9DA09784" w:tentative="1">
      <w:start w:val="1"/>
      <w:numFmt w:val="bullet"/>
      <w:lvlText w:val="•"/>
      <w:lvlJc w:val="left"/>
      <w:pPr>
        <w:tabs>
          <w:tab w:val="num" w:pos="3240"/>
        </w:tabs>
        <w:ind w:left="3240" w:hanging="360"/>
      </w:pPr>
      <w:rPr>
        <w:rFonts w:ascii="Arial" w:hAnsi="Arial" w:hint="default"/>
      </w:rPr>
    </w:lvl>
    <w:lvl w:ilvl="5" w:tplc="4EFEECB6" w:tentative="1">
      <w:start w:val="1"/>
      <w:numFmt w:val="bullet"/>
      <w:lvlText w:val="•"/>
      <w:lvlJc w:val="left"/>
      <w:pPr>
        <w:tabs>
          <w:tab w:val="num" w:pos="3960"/>
        </w:tabs>
        <w:ind w:left="3960" w:hanging="360"/>
      </w:pPr>
      <w:rPr>
        <w:rFonts w:ascii="Arial" w:hAnsi="Arial" w:hint="default"/>
      </w:rPr>
    </w:lvl>
    <w:lvl w:ilvl="6" w:tplc="A5F099C8" w:tentative="1">
      <w:start w:val="1"/>
      <w:numFmt w:val="bullet"/>
      <w:lvlText w:val="•"/>
      <w:lvlJc w:val="left"/>
      <w:pPr>
        <w:tabs>
          <w:tab w:val="num" w:pos="4680"/>
        </w:tabs>
        <w:ind w:left="4680" w:hanging="360"/>
      </w:pPr>
      <w:rPr>
        <w:rFonts w:ascii="Arial" w:hAnsi="Arial" w:hint="default"/>
      </w:rPr>
    </w:lvl>
    <w:lvl w:ilvl="7" w:tplc="0D2A6C7E" w:tentative="1">
      <w:start w:val="1"/>
      <w:numFmt w:val="bullet"/>
      <w:lvlText w:val="•"/>
      <w:lvlJc w:val="left"/>
      <w:pPr>
        <w:tabs>
          <w:tab w:val="num" w:pos="5400"/>
        </w:tabs>
        <w:ind w:left="5400" w:hanging="360"/>
      </w:pPr>
      <w:rPr>
        <w:rFonts w:ascii="Arial" w:hAnsi="Arial" w:hint="default"/>
      </w:rPr>
    </w:lvl>
    <w:lvl w:ilvl="8" w:tplc="ACB650A0"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32CA1F0A"/>
    <w:multiLevelType w:val="hybridMultilevel"/>
    <w:tmpl w:val="BB5E7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F92B60"/>
    <w:multiLevelType w:val="hybridMultilevel"/>
    <w:tmpl w:val="7DBAE566"/>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8" w15:restartNumberingAfterBreak="0">
    <w:nsid w:val="340E482F"/>
    <w:multiLevelType w:val="hybridMultilevel"/>
    <w:tmpl w:val="0E1CBC56"/>
    <w:lvl w:ilvl="0" w:tplc="E6AC08EA">
      <w:start w:val="1"/>
      <w:numFmt w:val="bullet"/>
      <w:lvlText w:val="•"/>
      <w:lvlJc w:val="left"/>
      <w:pPr>
        <w:tabs>
          <w:tab w:val="num" w:pos="720"/>
        </w:tabs>
        <w:ind w:left="720" w:hanging="360"/>
      </w:pPr>
      <w:rPr>
        <w:rFonts w:ascii="Arial" w:hAnsi="Arial" w:hint="default"/>
      </w:rPr>
    </w:lvl>
    <w:lvl w:ilvl="1" w:tplc="56F8BABE">
      <w:numFmt w:val="bullet"/>
      <w:lvlText w:val="•"/>
      <w:lvlJc w:val="left"/>
      <w:pPr>
        <w:tabs>
          <w:tab w:val="num" w:pos="1440"/>
        </w:tabs>
        <w:ind w:left="1440" w:hanging="360"/>
      </w:pPr>
      <w:rPr>
        <w:rFonts w:ascii="Arial" w:hAnsi="Arial" w:hint="default"/>
      </w:rPr>
    </w:lvl>
    <w:lvl w:ilvl="2" w:tplc="AFC831E4">
      <w:numFmt w:val="bullet"/>
      <w:lvlText w:val="•"/>
      <w:lvlJc w:val="left"/>
      <w:pPr>
        <w:tabs>
          <w:tab w:val="num" w:pos="2160"/>
        </w:tabs>
        <w:ind w:left="2160" w:hanging="360"/>
      </w:pPr>
      <w:rPr>
        <w:rFonts w:ascii="Arial" w:hAnsi="Arial" w:hint="default"/>
      </w:rPr>
    </w:lvl>
    <w:lvl w:ilvl="3" w:tplc="4838F70A">
      <w:numFmt w:val="bullet"/>
      <w:lvlText w:val="•"/>
      <w:lvlJc w:val="left"/>
      <w:pPr>
        <w:tabs>
          <w:tab w:val="num" w:pos="2880"/>
        </w:tabs>
        <w:ind w:left="2880" w:hanging="360"/>
      </w:pPr>
      <w:rPr>
        <w:rFonts w:ascii="Arial" w:hAnsi="Arial" w:hint="default"/>
      </w:rPr>
    </w:lvl>
    <w:lvl w:ilvl="4" w:tplc="E062AB68" w:tentative="1">
      <w:start w:val="1"/>
      <w:numFmt w:val="bullet"/>
      <w:lvlText w:val="•"/>
      <w:lvlJc w:val="left"/>
      <w:pPr>
        <w:tabs>
          <w:tab w:val="num" w:pos="3600"/>
        </w:tabs>
        <w:ind w:left="3600" w:hanging="360"/>
      </w:pPr>
      <w:rPr>
        <w:rFonts w:ascii="Arial" w:hAnsi="Arial" w:hint="default"/>
      </w:rPr>
    </w:lvl>
    <w:lvl w:ilvl="5" w:tplc="2E1AEBEE" w:tentative="1">
      <w:start w:val="1"/>
      <w:numFmt w:val="bullet"/>
      <w:lvlText w:val="•"/>
      <w:lvlJc w:val="left"/>
      <w:pPr>
        <w:tabs>
          <w:tab w:val="num" w:pos="4320"/>
        </w:tabs>
        <w:ind w:left="4320" w:hanging="360"/>
      </w:pPr>
      <w:rPr>
        <w:rFonts w:ascii="Arial" w:hAnsi="Arial" w:hint="default"/>
      </w:rPr>
    </w:lvl>
    <w:lvl w:ilvl="6" w:tplc="A3B85062" w:tentative="1">
      <w:start w:val="1"/>
      <w:numFmt w:val="bullet"/>
      <w:lvlText w:val="•"/>
      <w:lvlJc w:val="left"/>
      <w:pPr>
        <w:tabs>
          <w:tab w:val="num" w:pos="5040"/>
        </w:tabs>
        <w:ind w:left="5040" w:hanging="360"/>
      </w:pPr>
      <w:rPr>
        <w:rFonts w:ascii="Arial" w:hAnsi="Arial" w:hint="default"/>
      </w:rPr>
    </w:lvl>
    <w:lvl w:ilvl="7" w:tplc="45C4F040" w:tentative="1">
      <w:start w:val="1"/>
      <w:numFmt w:val="bullet"/>
      <w:lvlText w:val="•"/>
      <w:lvlJc w:val="left"/>
      <w:pPr>
        <w:tabs>
          <w:tab w:val="num" w:pos="5760"/>
        </w:tabs>
        <w:ind w:left="5760" w:hanging="360"/>
      </w:pPr>
      <w:rPr>
        <w:rFonts w:ascii="Arial" w:hAnsi="Arial" w:hint="default"/>
      </w:rPr>
    </w:lvl>
    <w:lvl w:ilvl="8" w:tplc="7620342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60404992"/>
    <w:multiLevelType w:val="hybridMultilevel"/>
    <w:tmpl w:val="5DCE2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34359F"/>
    <w:multiLevelType w:val="hybridMultilevel"/>
    <w:tmpl w:val="A538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2423A2"/>
    <w:multiLevelType w:val="hybridMultilevel"/>
    <w:tmpl w:val="9CE6B67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C0B7E51"/>
    <w:multiLevelType w:val="hybridMultilevel"/>
    <w:tmpl w:val="668E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
  </w:num>
  <w:num w:numId="3">
    <w:abstractNumId w:val="20"/>
  </w:num>
  <w:num w:numId="4">
    <w:abstractNumId w:val="17"/>
  </w:num>
  <w:num w:numId="5">
    <w:abstractNumId w:val="6"/>
  </w:num>
  <w:num w:numId="6">
    <w:abstractNumId w:val="14"/>
  </w:num>
  <w:num w:numId="7">
    <w:abstractNumId w:val="11"/>
  </w:num>
  <w:num w:numId="8">
    <w:abstractNumId w:val="16"/>
  </w:num>
  <w:num w:numId="9">
    <w:abstractNumId w:val="5"/>
  </w:num>
  <w:num w:numId="10">
    <w:abstractNumId w:val="24"/>
  </w:num>
  <w:num w:numId="11">
    <w:abstractNumId w:val="4"/>
  </w:num>
  <w:num w:numId="12">
    <w:abstractNumId w:val="18"/>
  </w:num>
  <w:num w:numId="13">
    <w:abstractNumId w:val="15"/>
  </w:num>
  <w:num w:numId="14">
    <w:abstractNumId w:val="8"/>
  </w:num>
  <w:num w:numId="15">
    <w:abstractNumId w:val="7"/>
  </w:num>
  <w:num w:numId="16">
    <w:abstractNumId w:val="3"/>
  </w:num>
  <w:num w:numId="17">
    <w:abstractNumId w:val="19"/>
  </w:num>
  <w:num w:numId="18">
    <w:abstractNumId w:val="9"/>
  </w:num>
  <w:num w:numId="19">
    <w:abstractNumId w:val="23"/>
  </w:num>
  <w:num w:numId="20">
    <w:abstractNumId w:val="10"/>
  </w:num>
  <w:num w:numId="21">
    <w:abstractNumId w:val="21"/>
  </w:num>
  <w:num w:numId="22">
    <w:abstractNumId w:val="2"/>
  </w:num>
  <w:num w:numId="23">
    <w:abstractNumId w:val="22"/>
  </w:num>
  <w:num w:numId="24">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51F0"/>
    <w:rsid w:val="0000545A"/>
    <w:rsid w:val="0000553B"/>
    <w:rsid w:val="00005D97"/>
    <w:rsid w:val="000063BC"/>
    <w:rsid w:val="00006780"/>
    <w:rsid w:val="00006C7A"/>
    <w:rsid w:val="000070F5"/>
    <w:rsid w:val="00007495"/>
    <w:rsid w:val="0000792C"/>
    <w:rsid w:val="00007B4B"/>
    <w:rsid w:val="000101EF"/>
    <w:rsid w:val="00010E97"/>
    <w:rsid w:val="00010FD1"/>
    <w:rsid w:val="0001117C"/>
    <w:rsid w:val="000124D1"/>
    <w:rsid w:val="00012D57"/>
    <w:rsid w:val="0001321B"/>
    <w:rsid w:val="000137BA"/>
    <w:rsid w:val="00013B63"/>
    <w:rsid w:val="00013F64"/>
    <w:rsid w:val="000141F0"/>
    <w:rsid w:val="00014E0E"/>
    <w:rsid w:val="00015BCB"/>
    <w:rsid w:val="00015CED"/>
    <w:rsid w:val="000162B2"/>
    <w:rsid w:val="0001645D"/>
    <w:rsid w:val="000164BB"/>
    <w:rsid w:val="000167A6"/>
    <w:rsid w:val="00016DCE"/>
    <w:rsid w:val="00017309"/>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B22"/>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67D1"/>
    <w:rsid w:val="000669DA"/>
    <w:rsid w:val="00067087"/>
    <w:rsid w:val="0006721A"/>
    <w:rsid w:val="0006739D"/>
    <w:rsid w:val="0006777C"/>
    <w:rsid w:val="00067CA8"/>
    <w:rsid w:val="00067FE2"/>
    <w:rsid w:val="00070192"/>
    <w:rsid w:val="00070FC3"/>
    <w:rsid w:val="0007118F"/>
    <w:rsid w:val="0007162A"/>
    <w:rsid w:val="000716FB"/>
    <w:rsid w:val="00071740"/>
    <w:rsid w:val="00072A48"/>
    <w:rsid w:val="00072E75"/>
    <w:rsid w:val="00072EFA"/>
    <w:rsid w:val="00072FF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760B"/>
    <w:rsid w:val="0008782D"/>
    <w:rsid w:val="00087E29"/>
    <w:rsid w:val="0009037D"/>
    <w:rsid w:val="00090394"/>
    <w:rsid w:val="00090573"/>
    <w:rsid w:val="00090779"/>
    <w:rsid w:val="00091ADD"/>
    <w:rsid w:val="000921E3"/>
    <w:rsid w:val="00092A3D"/>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9F8"/>
    <w:rsid w:val="000B1CD3"/>
    <w:rsid w:val="000B256B"/>
    <w:rsid w:val="000B32D4"/>
    <w:rsid w:val="000B38DA"/>
    <w:rsid w:val="000B3F37"/>
    <w:rsid w:val="000B4788"/>
    <w:rsid w:val="000B49D7"/>
    <w:rsid w:val="000B546F"/>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538"/>
    <w:rsid w:val="000C4C76"/>
    <w:rsid w:val="000C5759"/>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979"/>
    <w:rsid w:val="00104A80"/>
    <w:rsid w:val="001050B7"/>
    <w:rsid w:val="001050F9"/>
    <w:rsid w:val="0010521E"/>
    <w:rsid w:val="0010568A"/>
    <w:rsid w:val="001056C5"/>
    <w:rsid w:val="00105820"/>
    <w:rsid w:val="00105CEE"/>
    <w:rsid w:val="00105DA1"/>
    <w:rsid w:val="0010660E"/>
    <w:rsid w:val="00106A95"/>
    <w:rsid w:val="00106CC3"/>
    <w:rsid w:val="00106E7E"/>
    <w:rsid w:val="00106FF1"/>
    <w:rsid w:val="00107423"/>
    <w:rsid w:val="0010795D"/>
    <w:rsid w:val="0011034F"/>
    <w:rsid w:val="0011036F"/>
    <w:rsid w:val="00110851"/>
    <w:rsid w:val="001115C0"/>
    <w:rsid w:val="001115F4"/>
    <w:rsid w:val="001116D2"/>
    <w:rsid w:val="0011190B"/>
    <w:rsid w:val="00111AD9"/>
    <w:rsid w:val="0011211D"/>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D53"/>
    <w:rsid w:val="0015622B"/>
    <w:rsid w:val="00156260"/>
    <w:rsid w:val="00156284"/>
    <w:rsid w:val="00156502"/>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A42"/>
    <w:rsid w:val="00165D2D"/>
    <w:rsid w:val="00165D9A"/>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1565"/>
    <w:rsid w:val="001B2993"/>
    <w:rsid w:val="001B2C18"/>
    <w:rsid w:val="001B35C1"/>
    <w:rsid w:val="001B3754"/>
    <w:rsid w:val="001B3A10"/>
    <w:rsid w:val="001B4371"/>
    <w:rsid w:val="001B5332"/>
    <w:rsid w:val="001B54E9"/>
    <w:rsid w:val="001B55DE"/>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25D"/>
    <w:rsid w:val="002533FF"/>
    <w:rsid w:val="00253400"/>
    <w:rsid w:val="002537F5"/>
    <w:rsid w:val="00253905"/>
    <w:rsid w:val="0025429A"/>
    <w:rsid w:val="00256B22"/>
    <w:rsid w:val="00256B25"/>
    <w:rsid w:val="00256D51"/>
    <w:rsid w:val="00256F02"/>
    <w:rsid w:val="002571C8"/>
    <w:rsid w:val="002572F1"/>
    <w:rsid w:val="002573C4"/>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D90"/>
    <w:rsid w:val="002B453B"/>
    <w:rsid w:val="002B4C39"/>
    <w:rsid w:val="002B601A"/>
    <w:rsid w:val="002B61F1"/>
    <w:rsid w:val="002B64FE"/>
    <w:rsid w:val="002B694E"/>
    <w:rsid w:val="002B6D31"/>
    <w:rsid w:val="002B70A2"/>
    <w:rsid w:val="002B7D56"/>
    <w:rsid w:val="002C04C2"/>
    <w:rsid w:val="002C0818"/>
    <w:rsid w:val="002C0D11"/>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61E0"/>
    <w:rsid w:val="002C640C"/>
    <w:rsid w:val="002C6D3C"/>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DEA"/>
    <w:rsid w:val="002D6127"/>
    <w:rsid w:val="002D61BE"/>
    <w:rsid w:val="002D61F0"/>
    <w:rsid w:val="002D6624"/>
    <w:rsid w:val="002D7235"/>
    <w:rsid w:val="002D76E8"/>
    <w:rsid w:val="002E0E5E"/>
    <w:rsid w:val="002E0E94"/>
    <w:rsid w:val="002E15A5"/>
    <w:rsid w:val="002E16BC"/>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AE0"/>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2ACB"/>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BC5"/>
    <w:rsid w:val="00317C5E"/>
    <w:rsid w:val="0032013F"/>
    <w:rsid w:val="0032018E"/>
    <w:rsid w:val="00320310"/>
    <w:rsid w:val="00320B1B"/>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2123"/>
    <w:rsid w:val="003321C3"/>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FC9"/>
    <w:rsid w:val="00365023"/>
    <w:rsid w:val="00365644"/>
    <w:rsid w:val="0036590C"/>
    <w:rsid w:val="003665C5"/>
    <w:rsid w:val="00366B3A"/>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838"/>
    <w:rsid w:val="00376E0C"/>
    <w:rsid w:val="0037709A"/>
    <w:rsid w:val="00377146"/>
    <w:rsid w:val="003771CA"/>
    <w:rsid w:val="00377397"/>
    <w:rsid w:val="0037757C"/>
    <w:rsid w:val="003775BD"/>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868"/>
    <w:rsid w:val="00387B2B"/>
    <w:rsid w:val="00390449"/>
    <w:rsid w:val="003904B1"/>
    <w:rsid w:val="003907D2"/>
    <w:rsid w:val="00390C56"/>
    <w:rsid w:val="0039122C"/>
    <w:rsid w:val="0039124D"/>
    <w:rsid w:val="00391354"/>
    <w:rsid w:val="00391A92"/>
    <w:rsid w:val="00391C99"/>
    <w:rsid w:val="003926BE"/>
    <w:rsid w:val="003929BE"/>
    <w:rsid w:val="00392A1F"/>
    <w:rsid w:val="00392DB8"/>
    <w:rsid w:val="003933FD"/>
    <w:rsid w:val="00393A68"/>
    <w:rsid w:val="00393B78"/>
    <w:rsid w:val="003946B1"/>
    <w:rsid w:val="00394775"/>
    <w:rsid w:val="00394948"/>
    <w:rsid w:val="00394B44"/>
    <w:rsid w:val="00394D6C"/>
    <w:rsid w:val="0039502C"/>
    <w:rsid w:val="0039511F"/>
    <w:rsid w:val="003956FE"/>
    <w:rsid w:val="0039586B"/>
    <w:rsid w:val="003958F1"/>
    <w:rsid w:val="0039598F"/>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38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7D7"/>
    <w:rsid w:val="003C0985"/>
    <w:rsid w:val="003C10B8"/>
    <w:rsid w:val="003C2C9D"/>
    <w:rsid w:val="003C3B73"/>
    <w:rsid w:val="003C3D6E"/>
    <w:rsid w:val="003C3F8B"/>
    <w:rsid w:val="003C4213"/>
    <w:rsid w:val="003C425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077"/>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95B"/>
    <w:rsid w:val="00404D4D"/>
    <w:rsid w:val="00404FCC"/>
    <w:rsid w:val="00405898"/>
    <w:rsid w:val="00405A9F"/>
    <w:rsid w:val="00405D95"/>
    <w:rsid w:val="00405F90"/>
    <w:rsid w:val="00406108"/>
    <w:rsid w:val="00406412"/>
    <w:rsid w:val="00406D4A"/>
    <w:rsid w:val="00406D9D"/>
    <w:rsid w:val="00406F4B"/>
    <w:rsid w:val="00406FBD"/>
    <w:rsid w:val="004073B0"/>
    <w:rsid w:val="00407612"/>
    <w:rsid w:val="0041029D"/>
    <w:rsid w:val="004102A7"/>
    <w:rsid w:val="00411230"/>
    <w:rsid w:val="00411472"/>
    <w:rsid w:val="00411558"/>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69D"/>
    <w:rsid w:val="004518D5"/>
    <w:rsid w:val="00451B06"/>
    <w:rsid w:val="00451BEB"/>
    <w:rsid w:val="004520FE"/>
    <w:rsid w:val="004527C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0D5"/>
    <w:rsid w:val="00463337"/>
    <w:rsid w:val="00463448"/>
    <w:rsid w:val="004636FA"/>
    <w:rsid w:val="0046400B"/>
    <w:rsid w:val="004641A0"/>
    <w:rsid w:val="0046434B"/>
    <w:rsid w:val="00464A82"/>
    <w:rsid w:val="00464EE0"/>
    <w:rsid w:val="00465158"/>
    <w:rsid w:val="00465180"/>
    <w:rsid w:val="00465235"/>
    <w:rsid w:val="00465467"/>
    <w:rsid w:val="00465573"/>
    <w:rsid w:val="00465EB3"/>
    <w:rsid w:val="0047041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B9A"/>
    <w:rsid w:val="004C0C5C"/>
    <w:rsid w:val="004C0F99"/>
    <w:rsid w:val="004C130D"/>
    <w:rsid w:val="004C1624"/>
    <w:rsid w:val="004C18E0"/>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1599"/>
    <w:rsid w:val="005119D6"/>
    <w:rsid w:val="00511E67"/>
    <w:rsid w:val="00512747"/>
    <w:rsid w:val="00512A7B"/>
    <w:rsid w:val="00512D39"/>
    <w:rsid w:val="00513AA6"/>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73A4"/>
    <w:rsid w:val="005179DC"/>
    <w:rsid w:val="0052001B"/>
    <w:rsid w:val="00520AE3"/>
    <w:rsid w:val="0052129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8D8"/>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5D"/>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6EA"/>
    <w:rsid w:val="00576903"/>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3035"/>
    <w:rsid w:val="005E35FD"/>
    <w:rsid w:val="005E383F"/>
    <w:rsid w:val="005E3B77"/>
    <w:rsid w:val="005E3F5F"/>
    <w:rsid w:val="005E48F7"/>
    <w:rsid w:val="005E4CCB"/>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CC1"/>
    <w:rsid w:val="006004DE"/>
    <w:rsid w:val="00600AAB"/>
    <w:rsid w:val="00600B6C"/>
    <w:rsid w:val="00601072"/>
    <w:rsid w:val="00601097"/>
    <w:rsid w:val="0060144E"/>
    <w:rsid w:val="00601FCD"/>
    <w:rsid w:val="006020A8"/>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E1F"/>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F30"/>
    <w:rsid w:val="00680F81"/>
    <w:rsid w:val="0068102D"/>
    <w:rsid w:val="00681254"/>
    <w:rsid w:val="00681307"/>
    <w:rsid w:val="006820C0"/>
    <w:rsid w:val="0068226B"/>
    <w:rsid w:val="00682E47"/>
    <w:rsid w:val="00682ED3"/>
    <w:rsid w:val="006839BA"/>
    <w:rsid w:val="00683D7F"/>
    <w:rsid w:val="00683E9E"/>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4A5"/>
    <w:rsid w:val="006A18DD"/>
    <w:rsid w:val="006A20BD"/>
    <w:rsid w:val="006A2312"/>
    <w:rsid w:val="006A2347"/>
    <w:rsid w:val="006A24B3"/>
    <w:rsid w:val="006A29BF"/>
    <w:rsid w:val="006A2BF5"/>
    <w:rsid w:val="006A2D0E"/>
    <w:rsid w:val="006A2E66"/>
    <w:rsid w:val="006A3227"/>
    <w:rsid w:val="006A3396"/>
    <w:rsid w:val="006A3F94"/>
    <w:rsid w:val="006A40D0"/>
    <w:rsid w:val="006A4113"/>
    <w:rsid w:val="006A49B5"/>
    <w:rsid w:val="006A4F1A"/>
    <w:rsid w:val="006A4FF3"/>
    <w:rsid w:val="006A5A45"/>
    <w:rsid w:val="006A5CA3"/>
    <w:rsid w:val="006A5D5C"/>
    <w:rsid w:val="006A5E26"/>
    <w:rsid w:val="006A6B3F"/>
    <w:rsid w:val="006A6B69"/>
    <w:rsid w:val="006A74C0"/>
    <w:rsid w:val="006A7574"/>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846"/>
    <w:rsid w:val="006D0C09"/>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B3"/>
    <w:rsid w:val="00721E1D"/>
    <w:rsid w:val="00722260"/>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50B"/>
    <w:rsid w:val="00726537"/>
    <w:rsid w:val="0072665F"/>
    <w:rsid w:val="007273EC"/>
    <w:rsid w:val="007279F1"/>
    <w:rsid w:val="00727E9F"/>
    <w:rsid w:val="00730F0F"/>
    <w:rsid w:val="0073128B"/>
    <w:rsid w:val="0073150C"/>
    <w:rsid w:val="0073171A"/>
    <w:rsid w:val="007325D3"/>
    <w:rsid w:val="00732885"/>
    <w:rsid w:val="00733858"/>
    <w:rsid w:val="00733A80"/>
    <w:rsid w:val="0073487C"/>
    <w:rsid w:val="0073497A"/>
    <w:rsid w:val="0073532A"/>
    <w:rsid w:val="00735E35"/>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62D"/>
    <w:rsid w:val="0074475B"/>
    <w:rsid w:val="00744E4F"/>
    <w:rsid w:val="0074544C"/>
    <w:rsid w:val="0074576E"/>
    <w:rsid w:val="007458E7"/>
    <w:rsid w:val="00745EBB"/>
    <w:rsid w:val="00746167"/>
    <w:rsid w:val="00746199"/>
    <w:rsid w:val="00746D90"/>
    <w:rsid w:val="00747446"/>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8CD"/>
    <w:rsid w:val="007B4937"/>
    <w:rsid w:val="007B4D3D"/>
    <w:rsid w:val="007B550D"/>
    <w:rsid w:val="007B5A66"/>
    <w:rsid w:val="007B630D"/>
    <w:rsid w:val="007B6B0D"/>
    <w:rsid w:val="007B77FB"/>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E2E"/>
    <w:rsid w:val="00803FD6"/>
    <w:rsid w:val="008041E1"/>
    <w:rsid w:val="00804867"/>
    <w:rsid w:val="00804B2F"/>
    <w:rsid w:val="00804B56"/>
    <w:rsid w:val="008050E9"/>
    <w:rsid w:val="008053A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AA6"/>
    <w:rsid w:val="00853C45"/>
    <w:rsid w:val="00854090"/>
    <w:rsid w:val="008540C8"/>
    <w:rsid w:val="00854983"/>
    <w:rsid w:val="00854A91"/>
    <w:rsid w:val="00854E0E"/>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637"/>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5243"/>
    <w:rsid w:val="00895A0C"/>
    <w:rsid w:val="00895AA1"/>
    <w:rsid w:val="00895E55"/>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3C3"/>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DC"/>
    <w:rsid w:val="008D149D"/>
    <w:rsid w:val="008D1988"/>
    <w:rsid w:val="008D1E23"/>
    <w:rsid w:val="008D2209"/>
    <w:rsid w:val="008D2461"/>
    <w:rsid w:val="008D2CFC"/>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570"/>
    <w:rsid w:val="009156C5"/>
    <w:rsid w:val="0091610F"/>
    <w:rsid w:val="009161B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FB5"/>
    <w:rsid w:val="00941259"/>
    <w:rsid w:val="0094148B"/>
    <w:rsid w:val="00941A1C"/>
    <w:rsid w:val="00941B97"/>
    <w:rsid w:val="00941E13"/>
    <w:rsid w:val="009421B3"/>
    <w:rsid w:val="009426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E33"/>
    <w:rsid w:val="00981FCE"/>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3075"/>
    <w:rsid w:val="009930C0"/>
    <w:rsid w:val="0099324C"/>
    <w:rsid w:val="00993627"/>
    <w:rsid w:val="0099367D"/>
    <w:rsid w:val="009936F0"/>
    <w:rsid w:val="00994D59"/>
    <w:rsid w:val="009951AB"/>
    <w:rsid w:val="0099531F"/>
    <w:rsid w:val="00995360"/>
    <w:rsid w:val="009954AD"/>
    <w:rsid w:val="00996A8B"/>
    <w:rsid w:val="00996CD4"/>
    <w:rsid w:val="00997033"/>
    <w:rsid w:val="0099731A"/>
    <w:rsid w:val="009975D0"/>
    <w:rsid w:val="009979D6"/>
    <w:rsid w:val="00997CA3"/>
    <w:rsid w:val="009A0212"/>
    <w:rsid w:val="009A031F"/>
    <w:rsid w:val="009A0C1F"/>
    <w:rsid w:val="009A12A5"/>
    <w:rsid w:val="009A1DFF"/>
    <w:rsid w:val="009A2144"/>
    <w:rsid w:val="009A246A"/>
    <w:rsid w:val="009A3183"/>
    <w:rsid w:val="009A32D7"/>
    <w:rsid w:val="009A3576"/>
    <w:rsid w:val="009A3A6D"/>
    <w:rsid w:val="009A3AB5"/>
    <w:rsid w:val="009A3BA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D5C"/>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234"/>
    <w:rsid w:val="009E2BE6"/>
    <w:rsid w:val="009E2CB8"/>
    <w:rsid w:val="009E2DD3"/>
    <w:rsid w:val="009E2EAE"/>
    <w:rsid w:val="009E2F97"/>
    <w:rsid w:val="009E3644"/>
    <w:rsid w:val="009E3790"/>
    <w:rsid w:val="009E3C31"/>
    <w:rsid w:val="009E457F"/>
    <w:rsid w:val="009E4FCC"/>
    <w:rsid w:val="009E5656"/>
    <w:rsid w:val="009E5AB4"/>
    <w:rsid w:val="009E60C7"/>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104B"/>
    <w:rsid w:val="00A210E9"/>
    <w:rsid w:val="00A218AE"/>
    <w:rsid w:val="00A21A9D"/>
    <w:rsid w:val="00A21AAA"/>
    <w:rsid w:val="00A21E51"/>
    <w:rsid w:val="00A2208A"/>
    <w:rsid w:val="00A22132"/>
    <w:rsid w:val="00A22207"/>
    <w:rsid w:val="00A22389"/>
    <w:rsid w:val="00A22664"/>
    <w:rsid w:val="00A23243"/>
    <w:rsid w:val="00A23590"/>
    <w:rsid w:val="00A23919"/>
    <w:rsid w:val="00A23921"/>
    <w:rsid w:val="00A23E0D"/>
    <w:rsid w:val="00A24002"/>
    <w:rsid w:val="00A2470A"/>
    <w:rsid w:val="00A2481C"/>
    <w:rsid w:val="00A24CCF"/>
    <w:rsid w:val="00A25296"/>
    <w:rsid w:val="00A253C6"/>
    <w:rsid w:val="00A2585A"/>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AD"/>
    <w:rsid w:val="00A47B4B"/>
    <w:rsid w:val="00A5044D"/>
    <w:rsid w:val="00A50B00"/>
    <w:rsid w:val="00A50D49"/>
    <w:rsid w:val="00A511FB"/>
    <w:rsid w:val="00A514EB"/>
    <w:rsid w:val="00A516EF"/>
    <w:rsid w:val="00A521E0"/>
    <w:rsid w:val="00A524C8"/>
    <w:rsid w:val="00A5291D"/>
    <w:rsid w:val="00A52ED6"/>
    <w:rsid w:val="00A52EDB"/>
    <w:rsid w:val="00A532E0"/>
    <w:rsid w:val="00A53533"/>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57E"/>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B8D"/>
    <w:rsid w:val="00AB6CA0"/>
    <w:rsid w:val="00AB76D5"/>
    <w:rsid w:val="00AB7787"/>
    <w:rsid w:val="00AB78AC"/>
    <w:rsid w:val="00AB7913"/>
    <w:rsid w:val="00AC0169"/>
    <w:rsid w:val="00AC0CC3"/>
    <w:rsid w:val="00AC1281"/>
    <w:rsid w:val="00AC1554"/>
    <w:rsid w:val="00AC21BA"/>
    <w:rsid w:val="00AC22C7"/>
    <w:rsid w:val="00AC2D4E"/>
    <w:rsid w:val="00AC3084"/>
    <w:rsid w:val="00AC3431"/>
    <w:rsid w:val="00AC38E9"/>
    <w:rsid w:val="00AC45D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2ECC"/>
    <w:rsid w:val="00AE3004"/>
    <w:rsid w:val="00AE3627"/>
    <w:rsid w:val="00AE3839"/>
    <w:rsid w:val="00AE3AF4"/>
    <w:rsid w:val="00AE425D"/>
    <w:rsid w:val="00AE42D1"/>
    <w:rsid w:val="00AE4557"/>
    <w:rsid w:val="00AE4A1F"/>
    <w:rsid w:val="00AE4C55"/>
    <w:rsid w:val="00AE4F01"/>
    <w:rsid w:val="00AE5C22"/>
    <w:rsid w:val="00AE5E95"/>
    <w:rsid w:val="00AE6433"/>
    <w:rsid w:val="00AE6584"/>
    <w:rsid w:val="00AE69BD"/>
    <w:rsid w:val="00AE6D12"/>
    <w:rsid w:val="00AE723D"/>
    <w:rsid w:val="00AE7751"/>
    <w:rsid w:val="00AE77DE"/>
    <w:rsid w:val="00AE780C"/>
    <w:rsid w:val="00AE7992"/>
    <w:rsid w:val="00AE7BBF"/>
    <w:rsid w:val="00AF0FFE"/>
    <w:rsid w:val="00AF1414"/>
    <w:rsid w:val="00AF15C3"/>
    <w:rsid w:val="00AF19CD"/>
    <w:rsid w:val="00AF25F3"/>
    <w:rsid w:val="00AF28B0"/>
    <w:rsid w:val="00AF2DED"/>
    <w:rsid w:val="00AF3560"/>
    <w:rsid w:val="00AF3C80"/>
    <w:rsid w:val="00AF3C8C"/>
    <w:rsid w:val="00AF4095"/>
    <w:rsid w:val="00AF41FC"/>
    <w:rsid w:val="00AF4447"/>
    <w:rsid w:val="00AF457C"/>
    <w:rsid w:val="00AF4ABD"/>
    <w:rsid w:val="00AF5363"/>
    <w:rsid w:val="00AF579C"/>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BD8"/>
    <w:rsid w:val="00B25E1D"/>
    <w:rsid w:val="00B25F9A"/>
    <w:rsid w:val="00B2613A"/>
    <w:rsid w:val="00B263BE"/>
    <w:rsid w:val="00B269CE"/>
    <w:rsid w:val="00B271E3"/>
    <w:rsid w:val="00B2757B"/>
    <w:rsid w:val="00B27D54"/>
    <w:rsid w:val="00B3057A"/>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CB3"/>
    <w:rsid w:val="00B35F8E"/>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1420"/>
    <w:rsid w:val="00B51526"/>
    <w:rsid w:val="00B5171B"/>
    <w:rsid w:val="00B517F1"/>
    <w:rsid w:val="00B51A40"/>
    <w:rsid w:val="00B5238F"/>
    <w:rsid w:val="00B529F2"/>
    <w:rsid w:val="00B52EC8"/>
    <w:rsid w:val="00B5370C"/>
    <w:rsid w:val="00B538FF"/>
    <w:rsid w:val="00B53EF5"/>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49"/>
    <w:rsid w:val="00B70EDB"/>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BE8"/>
    <w:rsid w:val="00B855A8"/>
    <w:rsid w:val="00B85837"/>
    <w:rsid w:val="00B85F67"/>
    <w:rsid w:val="00B86557"/>
    <w:rsid w:val="00B86D87"/>
    <w:rsid w:val="00B87AF3"/>
    <w:rsid w:val="00B87C60"/>
    <w:rsid w:val="00B90165"/>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F4"/>
    <w:rsid w:val="00BA54FB"/>
    <w:rsid w:val="00BA5C97"/>
    <w:rsid w:val="00BA5EFB"/>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A61"/>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4D50"/>
    <w:rsid w:val="00BC5181"/>
    <w:rsid w:val="00BC56C1"/>
    <w:rsid w:val="00BC5CE2"/>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97A"/>
    <w:rsid w:val="00BE1A06"/>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F02E6"/>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5F3E"/>
    <w:rsid w:val="00C06031"/>
    <w:rsid w:val="00C06066"/>
    <w:rsid w:val="00C0648A"/>
    <w:rsid w:val="00C067A4"/>
    <w:rsid w:val="00C06F8C"/>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ADD"/>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7CE"/>
    <w:rsid w:val="00C20A2D"/>
    <w:rsid w:val="00C20DD5"/>
    <w:rsid w:val="00C20F2A"/>
    <w:rsid w:val="00C226CE"/>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70AA"/>
    <w:rsid w:val="00C47AE8"/>
    <w:rsid w:val="00C47B93"/>
    <w:rsid w:val="00C47BDE"/>
    <w:rsid w:val="00C47EC4"/>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49"/>
    <w:rsid w:val="00C666DB"/>
    <w:rsid w:val="00C667F6"/>
    <w:rsid w:val="00C66C34"/>
    <w:rsid w:val="00C66E67"/>
    <w:rsid w:val="00C67258"/>
    <w:rsid w:val="00C67F34"/>
    <w:rsid w:val="00C70366"/>
    <w:rsid w:val="00C7040D"/>
    <w:rsid w:val="00C70B8C"/>
    <w:rsid w:val="00C71327"/>
    <w:rsid w:val="00C71468"/>
    <w:rsid w:val="00C723AF"/>
    <w:rsid w:val="00C723CA"/>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586"/>
    <w:rsid w:val="00CA49C0"/>
    <w:rsid w:val="00CA4A24"/>
    <w:rsid w:val="00CA4A3F"/>
    <w:rsid w:val="00CA4C14"/>
    <w:rsid w:val="00CA4F58"/>
    <w:rsid w:val="00CA51A0"/>
    <w:rsid w:val="00CA5DA3"/>
    <w:rsid w:val="00CA6164"/>
    <w:rsid w:val="00CA6734"/>
    <w:rsid w:val="00CA6BDF"/>
    <w:rsid w:val="00CB0072"/>
    <w:rsid w:val="00CB01BC"/>
    <w:rsid w:val="00CB03CF"/>
    <w:rsid w:val="00CB047F"/>
    <w:rsid w:val="00CB11BD"/>
    <w:rsid w:val="00CB1368"/>
    <w:rsid w:val="00CB167F"/>
    <w:rsid w:val="00CB1F2A"/>
    <w:rsid w:val="00CB299C"/>
    <w:rsid w:val="00CB2BBA"/>
    <w:rsid w:val="00CB35ED"/>
    <w:rsid w:val="00CB39EB"/>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9A0"/>
    <w:rsid w:val="00D04A63"/>
    <w:rsid w:val="00D04FC8"/>
    <w:rsid w:val="00D050BA"/>
    <w:rsid w:val="00D05B4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7869"/>
    <w:rsid w:val="00D1792B"/>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5B68"/>
    <w:rsid w:val="00D466E5"/>
    <w:rsid w:val="00D467C7"/>
    <w:rsid w:val="00D4688E"/>
    <w:rsid w:val="00D46E3E"/>
    <w:rsid w:val="00D46F2D"/>
    <w:rsid w:val="00D47151"/>
    <w:rsid w:val="00D471EF"/>
    <w:rsid w:val="00D475CC"/>
    <w:rsid w:val="00D477E2"/>
    <w:rsid w:val="00D4785C"/>
    <w:rsid w:val="00D47A34"/>
    <w:rsid w:val="00D5044A"/>
    <w:rsid w:val="00D50C82"/>
    <w:rsid w:val="00D50F95"/>
    <w:rsid w:val="00D5102A"/>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3D97"/>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4EF8"/>
    <w:rsid w:val="00D86095"/>
    <w:rsid w:val="00D86ACF"/>
    <w:rsid w:val="00D86B37"/>
    <w:rsid w:val="00D86EF6"/>
    <w:rsid w:val="00D87154"/>
    <w:rsid w:val="00D8778A"/>
    <w:rsid w:val="00D91009"/>
    <w:rsid w:val="00D9120D"/>
    <w:rsid w:val="00D9126A"/>
    <w:rsid w:val="00D912DF"/>
    <w:rsid w:val="00D9134B"/>
    <w:rsid w:val="00D9151F"/>
    <w:rsid w:val="00D919F7"/>
    <w:rsid w:val="00D91A90"/>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133"/>
    <w:rsid w:val="00DB35C7"/>
    <w:rsid w:val="00DB3719"/>
    <w:rsid w:val="00DB39DE"/>
    <w:rsid w:val="00DB39FE"/>
    <w:rsid w:val="00DB3D0B"/>
    <w:rsid w:val="00DB3D52"/>
    <w:rsid w:val="00DB3EF3"/>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128A"/>
    <w:rsid w:val="00DD12B1"/>
    <w:rsid w:val="00DD12B5"/>
    <w:rsid w:val="00DD18BD"/>
    <w:rsid w:val="00DD1947"/>
    <w:rsid w:val="00DD1E75"/>
    <w:rsid w:val="00DD1ED7"/>
    <w:rsid w:val="00DD242B"/>
    <w:rsid w:val="00DD2DEB"/>
    <w:rsid w:val="00DD2FE5"/>
    <w:rsid w:val="00DD32DF"/>
    <w:rsid w:val="00DD3401"/>
    <w:rsid w:val="00DD3430"/>
    <w:rsid w:val="00DD3480"/>
    <w:rsid w:val="00DD3565"/>
    <w:rsid w:val="00DD430B"/>
    <w:rsid w:val="00DD49D3"/>
    <w:rsid w:val="00DD59AB"/>
    <w:rsid w:val="00DD5FFE"/>
    <w:rsid w:val="00DD6396"/>
    <w:rsid w:val="00DD6C70"/>
    <w:rsid w:val="00DD6DA2"/>
    <w:rsid w:val="00DD761C"/>
    <w:rsid w:val="00DE0171"/>
    <w:rsid w:val="00DE0333"/>
    <w:rsid w:val="00DE0558"/>
    <w:rsid w:val="00DE067E"/>
    <w:rsid w:val="00DE088E"/>
    <w:rsid w:val="00DE0B96"/>
    <w:rsid w:val="00DE128B"/>
    <w:rsid w:val="00DE1799"/>
    <w:rsid w:val="00DE21CF"/>
    <w:rsid w:val="00DE279F"/>
    <w:rsid w:val="00DE2D4B"/>
    <w:rsid w:val="00DE34C6"/>
    <w:rsid w:val="00DE3E7C"/>
    <w:rsid w:val="00DE464E"/>
    <w:rsid w:val="00DE4664"/>
    <w:rsid w:val="00DE4811"/>
    <w:rsid w:val="00DE4B0C"/>
    <w:rsid w:val="00DE5FDA"/>
    <w:rsid w:val="00DE61AA"/>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60E"/>
    <w:rsid w:val="00DF3623"/>
    <w:rsid w:val="00DF3A2C"/>
    <w:rsid w:val="00DF4158"/>
    <w:rsid w:val="00DF4430"/>
    <w:rsid w:val="00DF4920"/>
    <w:rsid w:val="00DF4DEA"/>
    <w:rsid w:val="00DF4F19"/>
    <w:rsid w:val="00DF5002"/>
    <w:rsid w:val="00DF5270"/>
    <w:rsid w:val="00DF5588"/>
    <w:rsid w:val="00DF5B4C"/>
    <w:rsid w:val="00DF5C89"/>
    <w:rsid w:val="00DF6014"/>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0F"/>
    <w:rsid w:val="00E019EA"/>
    <w:rsid w:val="00E01A5C"/>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586"/>
    <w:rsid w:val="00E3200D"/>
    <w:rsid w:val="00E32E0E"/>
    <w:rsid w:val="00E3305B"/>
    <w:rsid w:val="00E33506"/>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1BAC"/>
    <w:rsid w:val="00E42532"/>
    <w:rsid w:val="00E42D71"/>
    <w:rsid w:val="00E432AE"/>
    <w:rsid w:val="00E434D2"/>
    <w:rsid w:val="00E4356E"/>
    <w:rsid w:val="00E43F1E"/>
    <w:rsid w:val="00E4466A"/>
    <w:rsid w:val="00E447D5"/>
    <w:rsid w:val="00E45041"/>
    <w:rsid w:val="00E450D8"/>
    <w:rsid w:val="00E452D0"/>
    <w:rsid w:val="00E45A9D"/>
    <w:rsid w:val="00E460A1"/>
    <w:rsid w:val="00E46CC9"/>
    <w:rsid w:val="00E47D5F"/>
    <w:rsid w:val="00E47D96"/>
    <w:rsid w:val="00E47DF6"/>
    <w:rsid w:val="00E50344"/>
    <w:rsid w:val="00E508D6"/>
    <w:rsid w:val="00E515A3"/>
    <w:rsid w:val="00E51E23"/>
    <w:rsid w:val="00E523F3"/>
    <w:rsid w:val="00E52F76"/>
    <w:rsid w:val="00E5315C"/>
    <w:rsid w:val="00E534EA"/>
    <w:rsid w:val="00E538E0"/>
    <w:rsid w:val="00E547DF"/>
    <w:rsid w:val="00E54D33"/>
    <w:rsid w:val="00E564C1"/>
    <w:rsid w:val="00E56898"/>
    <w:rsid w:val="00E56D97"/>
    <w:rsid w:val="00E56E3C"/>
    <w:rsid w:val="00E56F3C"/>
    <w:rsid w:val="00E5711F"/>
    <w:rsid w:val="00E57456"/>
    <w:rsid w:val="00E5762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166"/>
    <w:rsid w:val="00E71952"/>
    <w:rsid w:val="00E71DF1"/>
    <w:rsid w:val="00E71EDB"/>
    <w:rsid w:val="00E723D3"/>
    <w:rsid w:val="00E7242A"/>
    <w:rsid w:val="00E72737"/>
    <w:rsid w:val="00E72ABE"/>
    <w:rsid w:val="00E72BCC"/>
    <w:rsid w:val="00E739A7"/>
    <w:rsid w:val="00E73E01"/>
    <w:rsid w:val="00E7449A"/>
    <w:rsid w:val="00E74B5A"/>
    <w:rsid w:val="00E7524F"/>
    <w:rsid w:val="00E7556D"/>
    <w:rsid w:val="00E75693"/>
    <w:rsid w:val="00E756FB"/>
    <w:rsid w:val="00E76141"/>
    <w:rsid w:val="00E76270"/>
    <w:rsid w:val="00E76B45"/>
    <w:rsid w:val="00E77040"/>
    <w:rsid w:val="00E772C4"/>
    <w:rsid w:val="00E77484"/>
    <w:rsid w:val="00E77655"/>
    <w:rsid w:val="00E8016D"/>
    <w:rsid w:val="00E810EC"/>
    <w:rsid w:val="00E8112C"/>
    <w:rsid w:val="00E81587"/>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0EAB"/>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E8"/>
    <w:rsid w:val="00EC05B8"/>
    <w:rsid w:val="00EC06DE"/>
    <w:rsid w:val="00EC0E69"/>
    <w:rsid w:val="00EC183D"/>
    <w:rsid w:val="00EC1D83"/>
    <w:rsid w:val="00EC1FE9"/>
    <w:rsid w:val="00EC28CD"/>
    <w:rsid w:val="00EC2915"/>
    <w:rsid w:val="00EC2C50"/>
    <w:rsid w:val="00EC2E21"/>
    <w:rsid w:val="00EC30FE"/>
    <w:rsid w:val="00EC36DD"/>
    <w:rsid w:val="00EC3E31"/>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EED"/>
    <w:rsid w:val="00F068D2"/>
    <w:rsid w:val="00F06F02"/>
    <w:rsid w:val="00F10437"/>
    <w:rsid w:val="00F10465"/>
    <w:rsid w:val="00F10780"/>
    <w:rsid w:val="00F10864"/>
    <w:rsid w:val="00F1165E"/>
    <w:rsid w:val="00F11CF5"/>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56B"/>
    <w:rsid w:val="00F2457D"/>
    <w:rsid w:val="00F24A57"/>
    <w:rsid w:val="00F24D96"/>
    <w:rsid w:val="00F24F4D"/>
    <w:rsid w:val="00F24FA0"/>
    <w:rsid w:val="00F25088"/>
    <w:rsid w:val="00F25157"/>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51DE"/>
    <w:rsid w:val="00F3521B"/>
    <w:rsid w:val="00F35561"/>
    <w:rsid w:val="00F35865"/>
    <w:rsid w:val="00F35E92"/>
    <w:rsid w:val="00F360BA"/>
    <w:rsid w:val="00F366CE"/>
    <w:rsid w:val="00F369FF"/>
    <w:rsid w:val="00F377A2"/>
    <w:rsid w:val="00F37922"/>
    <w:rsid w:val="00F37AEF"/>
    <w:rsid w:val="00F37DC6"/>
    <w:rsid w:val="00F37E70"/>
    <w:rsid w:val="00F41576"/>
    <w:rsid w:val="00F41D1F"/>
    <w:rsid w:val="00F426B0"/>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15E"/>
    <w:rsid w:val="00F737F5"/>
    <w:rsid w:val="00F73F43"/>
    <w:rsid w:val="00F74664"/>
    <w:rsid w:val="00F74791"/>
    <w:rsid w:val="00F747FD"/>
    <w:rsid w:val="00F74A7A"/>
    <w:rsid w:val="00F75057"/>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B41"/>
    <w:rsid w:val="00FC6D8C"/>
    <w:rsid w:val="00FC791E"/>
    <w:rsid w:val="00FC7F93"/>
    <w:rsid w:val="00FD10D2"/>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D6B"/>
    <w:rsid w:val="00FE00DC"/>
    <w:rsid w:val="00FE0477"/>
    <w:rsid w:val="00FE0657"/>
    <w:rsid w:val="00FE0E08"/>
    <w:rsid w:val="00FE15F5"/>
    <w:rsid w:val="00FE1728"/>
    <w:rsid w:val="00FE1EC0"/>
    <w:rsid w:val="00FE22FE"/>
    <w:rsid w:val="00FE2B7B"/>
    <w:rsid w:val="00FE3100"/>
    <w:rsid w:val="00FE3768"/>
    <w:rsid w:val="00FE3D47"/>
    <w:rsid w:val="00FE42C4"/>
    <w:rsid w:val="00FE47B0"/>
    <w:rsid w:val="00FE5172"/>
    <w:rsid w:val="00FE5236"/>
    <w:rsid w:val="00FE53E8"/>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2A5F700F-681D-4071-8CF2-D5FD9D0D36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32231">
          <w:marLeft w:val="1166"/>
          <w:marRight w:val="0"/>
          <w:marTop w:val="96"/>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1420634627">
          <w:marLeft w:val="547"/>
          <w:marRight w:val="0"/>
          <w:marTop w:val="115"/>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173837065">
          <w:marLeft w:val="547"/>
          <w:marRight w:val="0"/>
          <w:marTop w:val="115"/>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111482863">
          <w:marLeft w:val="1166"/>
          <w:marRight w:val="0"/>
          <w:marTop w:val="9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608776937">
          <w:marLeft w:val="547"/>
          <w:marRight w:val="0"/>
          <w:marTop w:val="115"/>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309676008">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1826896200">
          <w:marLeft w:val="1166"/>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336428114">
          <w:marLeft w:val="1627"/>
          <w:marRight w:val="0"/>
          <w:marTop w:val="86"/>
          <w:marBottom w:val="0"/>
          <w:divBdr>
            <w:top w:val="none" w:sz="0" w:space="0" w:color="auto"/>
            <w:left w:val="none" w:sz="0" w:space="0" w:color="auto"/>
            <w:bottom w:val="none" w:sz="0" w:space="0" w:color="auto"/>
            <w:right w:val="none" w:sz="0" w:space="0" w:color="auto"/>
          </w:divBdr>
        </w:div>
        <w:div w:id="1020231415">
          <w:marLeft w:val="547"/>
          <w:marRight w:val="0"/>
          <w:marTop w:val="115"/>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HR33RHYHUWRF-4-5525</_dlc_DocId>
    <_dlc_DocIdUrl xmlns="c06861ca-3f08-4d07-bff7-bb15bac121f4">
      <Url>https://projects.qualcomm.com/sites/pentari/_layouts/15/DocIdRedir.aspx?ID=HR33RHYHUWRF-4-5525</Url>
      <Description>HR33RHYHUWRF-4-5525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4175626B-F9F6-45FC-8A5F-713279C27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984</Words>
  <Characters>5615</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6586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dc:description/>
  <cp:lastModifiedBy>Heechoon Lee</cp:lastModifiedBy>
  <cp:revision>3</cp:revision>
  <cp:lastPrinted>2014-11-07T05:38:00Z</cp:lastPrinted>
  <dcterms:created xsi:type="dcterms:W3CDTF">2017-08-14T23:55:00Z</dcterms:created>
  <dcterms:modified xsi:type="dcterms:W3CDTF">2017-08-14T23:57:00Z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-435258076</vt:i4>
  </property>
  <property fmtid="{D5CDD505-2E9C-101B-9397-08002B2CF9AE}" pid="3" name="_NewReviewCycle">
    <vt:lpwstr/>
  </property>
  <property fmtid="{D5CDD505-2E9C-101B-9397-08002B2CF9AE}" pid="4" name="_EmailSubject">
    <vt:lpwstr>Control channel contributions for RAN1#87</vt:lpwstr>
  </property>
  <property fmtid="{D5CDD505-2E9C-101B-9397-08002B2CF9AE}" pid="5" name="_AuthorEmail">
    <vt:lpwstr>jingsun@qti.qualcomm.com</vt:lpwstr>
  </property>
  <property fmtid="{D5CDD505-2E9C-101B-9397-08002B2CF9AE}" pid="6" name="_AuthorEmailDisplayName">
    <vt:lpwstr>Sun, Jing</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7b796461-c5f1-432f-be3c-6f058a2fcf4a</vt:lpwstr>
  </property>
  <property fmtid="{D5CDD505-2E9C-101B-9397-08002B2CF9AE}" pid="10" name="_ReviewingToolsShownOnce">
    <vt:lpwstr/>
  </property>
</Properties>
</file>